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after="60"/>
        <w:jc w:val="center"/>
      </w:pPr>
      <w:r>
        <w:rPr>
          <w:rFonts w:ascii="Arial" w:cs="Arial" w:eastAsia="Arial" w:hAnsi="Arial"/>
          <w:caps/>
          <w:color w:val="888888"/>
          <w:spacing w:val="100"/>
          <w:sz w:val="20"/>
          <w:szCs w:val="20"/>
        </w:rPr>
        <w:t xml:space="preserve">VELSANET ARCHITECTURE GROUP</w:t>
      </w:r>
    </w:p>
    <w:p>
      <w:pPr>
        <w:spacing w:before="40" w:after="40"/>
        <w:jc w:val="center"/>
      </w:pPr>
      <w:r>
        <w:rPr>
          <w:rFonts w:ascii="Arial" w:cs="Arial" w:eastAsia="Arial" w:hAnsi="Arial"/>
          <w:b/>
          <w:bCs/>
          <w:color w:val="0D1F3C"/>
          <w:sz w:val="52"/>
          <w:szCs w:val="52"/>
        </w:rPr>
        <w:t xml:space="preserve">Global Industry Platform Mapping</w:t>
      </w:r>
    </w:p>
    <w:p>
      <w:pPr>
        <w:spacing w:before="20" w:after="60"/>
        <w:jc w:val="center"/>
      </w:pPr>
      <w:r>
        <w:rPr>
          <w:rFonts w:ascii="Arial" w:cs="Arial" w:eastAsia="Arial" w:hAnsi="Arial"/>
          <w:color w:val="0077B6"/>
          <w:sz w:val="28"/>
          <w:szCs w:val="28"/>
        </w:rPr>
        <w:t xml:space="preserve">A Cross-Platform Technical Analysis of Velsanet Hardware Implementation</w:t>
      </w:r>
    </w:p>
    <w:p>
      <w:pPr>
        <w:spacing w:before="40" w:after="20"/>
        <w:jc w:val="center"/>
      </w:pPr>
      <w:r>
        <w:rPr>
          <w:rFonts w:ascii="Arial" w:cs="Arial" w:eastAsia="Arial" w:hAnsi="Arial"/>
          <w:b/>
          <w:bCs/>
          <w:color w:val="555555"/>
          <w:sz w:val="22"/>
          <w:szCs w:val="22"/>
        </w:rPr>
        <w:t xml:space="preserve">ARM + Samsung  ·  NVIDIA + TSMC  ·  Intel + Broadcom</w:t>
      </w:r>
    </w:p>
    <w:p>
      <w:pPr>
        <w:spacing w:before="10" w:after="40"/>
        <w:jc w:val="center"/>
      </w:pPr>
      <w:r>
        <w:rPr>
          <w:rFonts w:ascii="Arial" w:cs="Arial" w:eastAsia="Arial" w:hAnsi="Arial"/>
          <w:color w:val="888888"/>
          <w:sz w:val="20"/>
          <w:szCs w:val="20"/>
        </w:rPr>
        <w:t xml:space="preserve">Independent Technical Analysis by Velsanet Architecture Group</w:t>
      </w:r>
    </w:p>
    <w:p>
      <w:pPr>
        <w:spacing w:before="10" w:after="40"/>
        <w:jc w:val="center"/>
      </w:pPr>
      <w:r>
        <w:rPr>
          <w:rFonts w:ascii="Arial" w:cs="Arial" w:eastAsia="Arial" w:hAnsi="Arial"/>
          <w:color w:val="AAAAAA"/>
          <w:sz w:val="18"/>
          <w:szCs w:val="18"/>
        </w:rPr>
        <w:t xml:space="preserve">v1.0  ·  March 2026  ·  Independent Analysis</w:t>
      </w:r>
    </w:p>
    <w:p>
      <w:pPr>
        <w:pBdr>
          <w:bottom w:val="single" w:color="0077B6" w:sz="6"/>
        </w:pBdr>
        <w:spacing w:before="180" w:after="180"/>
      </w:pPr>
      <w:r>
        <w:t xml:space="preserve"/>
      </w:r>
    </w:p>
    <w:p>
      <w:r>
        <w:t xml:space="preserve"/>
      </w:r>
    </w:p>
    <w:p>
      <w:pPr>
        <w:pStyle w:val="Heading1"/>
        <w:spacing w:before="400" w:after="180"/>
      </w:pPr>
      <w:r>
        <w:rPr>
          <w:rFonts w:ascii="Arial" w:cs="Arial" w:eastAsia="Arial" w:hAnsi="Arial"/>
          <w:b/>
          <w:bCs/>
          <w:color w:val="0D1F3C"/>
          <w:sz w:val="38"/>
          <w:szCs w:val="38"/>
        </w:rPr>
        <w:t xml:space="preserve">About This Report</w:t>
      </w:r>
    </w:p>
    <w:p>
      <w:pPr>
        <w:spacing w:before="60" w:after="60"/>
      </w:pPr>
      <w:r>
        <w:rPr>
          <w:rFonts w:ascii="Arial" w:cs="Arial" w:eastAsia="Arial" w:hAnsi="Arial"/>
          <w:sz w:val="22"/>
          <w:szCs w:val="22"/>
        </w:rPr>
        <w:t xml:space="preserve">This report consolidates three independent hardware mapping analyses — ARM + Samsung, NVIDIA + TSMC, and Intel + Broadcom — into a single cross-platform reference. Unlike the individual reports, which examine each platform in isolation, this document is organized by Velsanet architectural layer. For each layer, all three platform options are presented and compared side by side.</w:t>
      </w:r>
    </w:p>
    <w:p>
      <w:r>
        <w:t xml:space="preserve"/>
      </w:r>
    </w:p>
    <w:p>
      <w:pPr>
        <w:spacing w:before="60" w:after="60"/>
      </w:pPr>
      <w:r>
        <w:rPr>
          <w:rFonts w:ascii="Arial" w:cs="Arial" w:eastAsia="Arial" w:hAnsi="Arial"/>
          <w:sz w:val="22"/>
          <w:szCs w:val="22"/>
        </w:rPr>
        <w:t xml:space="preserve">The goal is not to declare a winner. Each platform combination represents a distinct implementation path with different strengths, timelines, and strategic contexts. The comparison is provided to enable informed engagement — whether for prototyping, partnership discussion, or standardization contribution.</w:t>
      </w:r>
    </w:p>
    <w:p>
      <w:r>
        <w:t xml:space="preserve"/>
      </w:r>
    </w:p>
    <w:p>
      <w:pPr>
        <w:pStyle w:val="Heading2"/>
        <w:spacing w:before="320" w:after="120"/>
      </w:pPr>
      <w:r>
        <w:rPr>
          <w:rFonts w:ascii="Arial" w:cs="Arial" w:eastAsia="Arial" w:hAnsi="Arial"/>
          <w:b/>
          <w:bCs/>
          <w:color w:val="1A3A6B"/>
          <w:sz w:val="28"/>
          <w:szCs w:val="28"/>
        </w:rPr>
        <w:t xml:space="preserve">Document Structure</w:t>
      </w:r>
    </w:p>
    <w:p>
      <w:pPr>
        <w:pStyle w:val="ListParagraph"/>
        <w:numPr>
          <w:ilvl w:val="0"/>
          <w:numId w:val="2"/>
        </w:numPr>
        <w:spacing w:before="40" w:after="40"/>
      </w:pPr>
      <w:r>
        <w:rPr>
          <w:rFonts w:ascii="Arial" w:cs="Arial" w:eastAsia="Arial" w:hAnsi="Arial"/>
          <w:sz w:val="22"/>
          <w:szCs w:val="22"/>
        </w:rPr>
        <w:t xml:space="preserve">Chapter 1: Velsanet Architecture — the five layers being mapped</w:t>
      </w:r>
    </w:p>
    <w:p>
      <w:pPr>
        <w:pStyle w:val="ListParagraph"/>
        <w:numPr>
          <w:ilvl w:val="0"/>
          <w:numId w:val="2"/>
        </w:numPr>
        <w:spacing w:before="40" w:after="40"/>
      </w:pPr>
      <w:r>
        <w:rPr>
          <w:rFonts w:ascii="Arial" w:cs="Arial" w:eastAsia="Arial" w:hAnsi="Arial"/>
          <w:sz w:val="22"/>
          <w:szCs w:val="22"/>
        </w:rPr>
        <w:t xml:space="preserve">Chapter 2: MOCT / Matrix — photonic physical layer fabrication</w:t>
      </w:r>
    </w:p>
    <w:p>
      <w:pPr>
        <w:pStyle w:val="ListParagraph"/>
        <w:numPr>
          <w:ilvl w:val="0"/>
          <w:numId w:val="2"/>
        </w:numPr>
        <w:spacing w:before="40" w:after="40"/>
      </w:pPr>
      <w:r>
        <w:rPr>
          <w:rFonts w:ascii="Arial" w:cs="Arial" w:eastAsia="Arial" w:hAnsi="Arial"/>
          <w:sz w:val="22"/>
          <w:szCs w:val="22"/>
        </w:rPr>
        <w:t xml:space="preserve">Chapter 3: Dedicated Equipment — optical↔AI channel bridge</w:t>
      </w:r>
    </w:p>
    <w:p>
      <w:pPr>
        <w:pStyle w:val="ListParagraph"/>
        <w:numPr>
          <w:ilvl w:val="0"/>
          <w:numId w:val="2"/>
        </w:numPr>
        <w:spacing w:before="40" w:after="40"/>
      </w:pPr>
      <w:r>
        <w:rPr>
          <w:rFonts w:ascii="Arial" w:cs="Arial" w:eastAsia="Arial" w:hAnsi="Arial"/>
          <w:sz w:val="22"/>
          <w:szCs w:val="22"/>
        </w:rPr>
        <w:t xml:space="preserve">Chapter 4: PAI Node (O8) — personal AI, always-on edge inference</w:t>
      </w:r>
    </w:p>
    <w:p>
      <w:pPr>
        <w:pStyle w:val="ListParagraph"/>
        <w:numPr>
          <w:ilvl w:val="0"/>
          <w:numId w:val="2"/>
        </w:numPr>
        <w:spacing w:before="40" w:after="40"/>
      </w:pPr>
      <w:r>
        <w:rPr>
          <w:rFonts w:ascii="Arial" w:cs="Arial" w:eastAsia="Arial" w:hAnsi="Arial"/>
          <w:sz w:val="22"/>
          <w:szCs w:val="22"/>
        </w:rPr>
        <w:t xml:space="preserve">Chapter 5: AAI Node (D12) — regional multi-agent coordination</w:t>
      </w:r>
    </w:p>
    <w:p>
      <w:pPr>
        <w:pStyle w:val="ListParagraph"/>
        <w:numPr>
          <w:ilvl w:val="0"/>
          <w:numId w:val="2"/>
        </w:numPr>
        <w:spacing w:before="40" w:after="40"/>
      </w:pPr>
      <w:r>
        <w:rPr>
          <w:rFonts w:ascii="Arial" w:cs="Arial" w:eastAsia="Arial" w:hAnsi="Arial"/>
          <w:sz w:val="22"/>
          <w:szCs w:val="22"/>
        </w:rPr>
        <w:t xml:space="preserve">Chapter 6: AsAI Node (I20) — infrastructure-scale wisdom execution</w:t>
      </w:r>
    </w:p>
    <w:p>
      <w:pPr>
        <w:pStyle w:val="ListParagraph"/>
        <w:numPr>
          <w:ilvl w:val="0"/>
          <w:numId w:val="2"/>
        </w:numPr>
        <w:spacing w:before="40" w:after="40"/>
      </w:pPr>
      <w:r>
        <w:rPr>
          <w:rFonts w:ascii="Arial" w:cs="Arial" w:eastAsia="Arial" w:hAnsi="Arial"/>
          <w:sz w:val="22"/>
          <w:szCs w:val="22"/>
        </w:rPr>
        <w:t xml:space="preserve">Chapter 7: Cross-Platform Comparison — consolidated view</w:t>
      </w:r>
    </w:p>
    <w:p>
      <w:pPr>
        <w:pStyle w:val="ListParagraph"/>
        <w:numPr>
          <w:ilvl w:val="0"/>
          <w:numId w:val="2"/>
        </w:numPr>
        <w:spacing w:before="40" w:after="40"/>
      </w:pPr>
      <w:r>
        <w:rPr>
          <w:rFonts w:ascii="Arial" w:cs="Arial" w:eastAsia="Arial" w:hAnsi="Arial"/>
          <w:sz w:val="22"/>
          <w:szCs w:val="22"/>
        </w:rPr>
        <w:t xml:space="preserve">Chapter 8: Implementation Paths — prototyping timeline by platform</w:t>
      </w:r>
    </w:p>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1 — Velsanet Architecture</w:t>
      </w:r>
    </w:p>
    <w:p>
      <w:pPr>
        <w:spacing w:before="60" w:after="60"/>
      </w:pPr>
      <w:r>
        <w:rPr>
          <w:rFonts w:ascii="Arial" w:cs="Arial" w:eastAsia="Arial" w:hAnsi="Arial"/>
          <w:sz w:val="22"/>
          <w:szCs w:val="22"/>
        </w:rPr>
        <w:t xml:space="preserve">Velsanet is a next-generation network architecture that replaces packet switching with structure-first, AI-native connectivity. There are no routing tables, no switching ASICs, and no address-based forwarding. Connectivity is formed deterministically through physical parallel optical paths, and intelligence is embedded natively within the network nodes — not bolted on top.</w:t>
      </w:r>
    </w:p>
    <w:p>
      <w:r>
        <w:t xml:space="preserve"/>
      </w:r>
    </w:p>
    <w:p>
      <w:pPr>
        <w:pStyle w:val="Heading2"/>
        <w:spacing w:before="320" w:after="120"/>
      </w:pPr>
      <w:r>
        <w:rPr>
          <w:rFonts w:ascii="Arial" w:cs="Arial" w:eastAsia="Arial" w:hAnsi="Arial"/>
          <w:b/>
          <w:bCs/>
          <w:color w:val="1A3A6B"/>
          <w:sz w:val="28"/>
          <w:szCs w:val="28"/>
        </w:rPr>
        <w:t xml:space="preserve">1.1  The Five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1800"/>
        <w:gridCol w:w="2560"/>
        <w:gridCol w:w="2400"/>
      </w:tblGrid>
      <w:tr>
        <w:tc>
          <w:tcPr>
            <w:tcW w:type="dxa" w:w="1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Node</w:t>
            </w:r>
          </w:p>
        </w:tc>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Shape</w:t>
            </w:r>
          </w:p>
        </w:tc>
        <w:tc>
          <w:tcPr>
            <w:tcW w:type="dxa" w:w="18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Role</w:t>
            </w:r>
          </w:p>
        </w:tc>
        <w:tc>
          <w:tcPr>
            <w:tcW w:type="dxa" w:w="25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AI Layer</w:t>
            </w:r>
          </w:p>
        </w:tc>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Scale</w:t>
            </w:r>
          </w:p>
        </w:tc>
      </w:tr>
      <w:tr>
        <w:tc>
          <w:tcPr>
            <w:tcW w:type="dxa" w:w="1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T4</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Tetrahedron</w:t>
            </w:r>
          </w:p>
        </w:tc>
        <w:tc>
          <w:tcPr>
            <w:tcW w:type="dxa" w:w="18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Access / device entry</w:t>
            </w:r>
          </w:p>
        </w:tc>
        <w:tc>
          <w:tcPr>
            <w:tcW w:type="dxa" w:w="2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None (passive)</w:t>
            </w:r>
          </w:p>
        </w:tc>
        <w:tc>
          <w:tcPr>
            <w:tcW w:type="dxa" w:w="24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Device / User</w:t>
            </w:r>
          </w:p>
        </w:tc>
      </w:tr>
      <w:tr>
        <w:tc>
          <w:tcPr>
            <w:tcW w:type="dxa" w:w="1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H6</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Hexahedron</w:t>
            </w:r>
          </w:p>
        </w:tc>
        <w:tc>
          <w:tcPr>
            <w:tcW w:type="dxa" w:w="18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Channel alignment / RAN</w:t>
            </w:r>
          </w:p>
        </w:tc>
        <w:tc>
          <w:tcPr>
            <w:tcW w:type="dxa" w:w="2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None (passive)</w:t>
            </w:r>
          </w:p>
        </w:tc>
        <w:tc>
          <w:tcPr>
            <w:tcW w:type="dxa" w:w="24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Access point</w:t>
            </w:r>
          </w:p>
        </w:tc>
      </w:tr>
      <w:tr>
        <w:tc>
          <w:tcPr>
            <w:tcW w:type="dxa" w:w="1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O8</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Octahedron</w:t>
            </w:r>
          </w:p>
        </w:tc>
        <w:tc>
          <w:tcPr>
            <w:tcW w:type="dxa" w:w="18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Personal E2E domain</w:t>
            </w:r>
          </w:p>
        </w:tc>
        <w:tc>
          <w:tcPr>
            <w:tcW w:type="dxa" w:w="2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PAI — Personal AI</w:t>
            </w:r>
          </w:p>
        </w:tc>
        <w:tc>
          <w:tcPr>
            <w:tcW w:type="dxa" w:w="24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Neighborhood</w:t>
            </w:r>
          </w:p>
        </w:tc>
      </w:tr>
      <w:tr>
        <w:tc>
          <w:tcPr>
            <w:tcW w:type="dxa" w:w="1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D12</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Dodecahedron</w:t>
            </w:r>
          </w:p>
        </w:tc>
        <w:tc>
          <w:tcPr>
            <w:tcW w:type="dxa" w:w="18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Regional mediation</w:t>
            </w:r>
          </w:p>
        </w:tc>
        <w:tc>
          <w:tcPr>
            <w:tcW w:type="dxa" w:w="2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AAI — Agent AI</w:t>
            </w:r>
          </w:p>
        </w:tc>
        <w:tc>
          <w:tcPr>
            <w:tcW w:type="dxa" w:w="24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District / City</w:t>
            </w:r>
          </w:p>
        </w:tc>
      </w:tr>
      <w:tr>
        <w:tc>
          <w:tcPr>
            <w:tcW w:type="dxa" w:w="1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I20</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Icosahedron</w:t>
            </w:r>
          </w:p>
        </w:tc>
        <w:tc>
          <w:tcPr>
            <w:tcW w:type="dxa" w:w="18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Global governance</w:t>
            </w:r>
          </w:p>
        </w:tc>
        <w:tc>
          <w:tcPr>
            <w:tcW w:type="dxa" w:w="2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AsAI — Assistant AI</w:t>
            </w:r>
          </w:p>
        </w:tc>
        <w:tc>
          <w:tcPr>
            <w:tcW w:type="dxa" w:w="24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National / Global</w:t>
            </w:r>
          </w:p>
        </w:tc>
      </w:tr>
    </w:tbl>
    <w:p>
      <w:r>
        <w:t xml:space="preserve"/>
      </w:r>
    </w:p>
    <w:p>
      <w:pPr>
        <w:pStyle w:val="Heading2"/>
        <w:spacing w:before="320" w:after="120"/>
      </w:pPr>
      <w:r>
        <w:rPr>
          <w:rFonts w:ascii="Arial" w:cs="Arial" w:eastAsia="Arial" w:hAnsi="Arial"/>
          <w:b/>
          <w:bCs/>
          <w:color w:val="1A3A6B"/>
          <w:sz w:val="28"/>
          <w:szCs w:val="28"/>
        </w:rPr>
        <w:t xml:space="preserve">1.2  MOCT — The Physical Substrate</w:t>
      </w:r>
    </w:p>
    <w:p>
      <w:pPr>
        <w:spacing w:before="60" w:after="60"/>
      </w:pPr>
      <w:r>
        <w:rPr>
          <w:rFonts w:ascii="Arial" w:cs="Arial" w:eastAsia="Arial" w:hAnsi="Arial"/>
          <w:sz w:val="22"/>
          <w:szCs w:val="22"/>
        </w:rPr>
        <w:t xml:space="preserve">The Multi-Optical-Core Transceiver (MOCT) is the physical foundation of every Velsanet node. It is a fixed, non-pluggable photonic module permanently integrated with the Matrix. Core properties: 100–1000+ parallel optical cores per node, 8 internal channels per core (Channel 1 reserved for sensing, control, and identity), MEMS-based alignment, pre-attached fibers (5m+) fused at manufacture. There are no connectors, no packet switching, no routing logic at the physical layer.</w:t>
      </w:r>
    </w:p>
    <w:p>
      <w:r>
        <w:t xml:space="preserve"/>
      </w:r>
    </w:p>
    <w:p>
      <w:pPr>
        <w:pStyle w:val="Heading2"/>
        <w:spacing w:before="320" w:after="120"/>
      </w:pPr>
      <w:r>
        <w:rPr>
          <w:rFonts w:ascii="Arial" w:cs="Arial" w:eastAsia="Arial" w:hAnsi="Arial"/>
          <w:b/>
          <w:bCs/>
          <w:color w:val="1A3A6B"/>
          <w:sz w:val="28"/>
          <w:szCs w:val="28"/>
        </w:rPr>
        <w:t xml:space="preserve">1.3  DIKWEI Cognitive Cycle</w:t>
      </w:r>
    </w:p>
    <w:p>
      <w:pPr>
        <w:spacing w:before="60" w:after="60"/>
      </w:pPr>
      <w:r>
        <w:rPr>
          <w:rFonts w:ascii="Arial" w:cs="Arial" w:eastAsia="Arial" w:hAnsi="Arial"/>
          <w:sz w:val="22"/>
          <w:szCs w:val="22"/>
        </w:rPr>
        <w:t xml:space="preserve">All AI processing in Velsanet follows the DIKWEI cycle: Data → Information → Knowledge → Wisdom → Execution → Intent. This cycle runs continuously across PAI → AAI → AsAI layers. The Dedicated Equipment is the hardware gateway that binds the optical physical layer to this cognitive cycle — converting Cube optical lanes into PAI cognitive channels and writing AsAI outputs back into Cube memory.</w:t>
      </w:r>
    </w:p>
    <w:p>
      <w:r>
        <w:t xml:space="preserve"/>
      </w:r>
    </w:p>
    <w:p>
      <w:pPr>
        <w:pStyle w:val="Heading2"/>
        <w:spacing w:before="320" w:after="120"/>
      </w:pPr>
      <w:r>
        <w:rPr>
          <w:rFonts w:ascii="Arial" w:cs="Arial" w:eastAsia="Arial" w:hAnsi="Arial"/>
          <w:b/>
          <w:bCs/>
          <w:color w:val="1A3A6B"/>
          <w:sz w:val="28"/>
          <w:szCs w:val="28"/>
        </w:rPr>
        <w:t xml:space="preserve">1.4  Dedicated Equipment — The Synaptic Transformer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Function</w:t>
            </w:r>
          </w:p>
        </w:tc>
        <w:tc>
          <w:tcPr>
            <w:tcW w:type="dxa" w:w="65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Operation</w:t>
            </w:r>
          </w:p>
        </w:tc>
      </w:tr>
      <w:tr>
        <w:tc>
          <w:tcPr>
            <w:tcW w:type="dxa" w:w="28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Cube → PAI Demux</w:t>
            </w:r>
          </w:p>
        </w:tc>
        <w:tc>
          <w:tcPr>
            <w:tcW w:type="dxa" w:w="6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Converts 384 Cube optical lanes into 8-channel PAI cognitive format</w:t>
            </w:r>
          </w:p>
        </w:tc>
      </w:tr>
      <w:tr>
        <w:tc>
          <w:tcPr>
            <w:tcW w:type="dxa" w:w="28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PAI → AAI Mux</w:t>
            </w:r>
          </w:p>
        </w:tc>
        <w:tc>
          <w:tcPr>
            <w:tcW w:type="dxa" w:w="6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Combines PAI outputs into 24-core bundles for AAI ingress</w:t>
            </w:r>
          </w:p>
        </w:tc>
      </w:tr>
      <w:tr>
        <w:tc>
          <w:tcPr>
            <w:tcW w:type="dxa" w:w="28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AAI ↔ AsAI Conversion</w:t>
            </w:r>
          </w:p>
        </w:tc>
        <w:tc>
          <w:tcPr>
            <w:tcW w:type="dxa" w:w="6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Structural mapping: 12-face (AAI) topology ↔ 20-face (AsAI) topology</w:t>
            </w:r>
          </w:p>
        </w:tc>
      </w:tr>
      <w:tr>
        <w:tc>
          <w:tcPr>
            <w:tcW w:type="dxa" w:w="28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AsAI → Cube Write-back</w:t>
            </w:r>
          </w:p>
        </w:tc>
        <w:tc>
          <w:tcPr>
            <w:tcW w:type="dxa" w:w="6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Converts AsAI results back into Cube-addressable DIKWEI memory packets</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2 — MOCT / Matrix: Photonic Physical Layer</w:t>
      </w:r>
    </w:p>
    <w:p>
      <w:pPr>
        <w:spacing w:before="60" w:after="60"/>
      </w:pPr>
      <w:r>
        <w:rPr>
          <w:rFonts w:ascii="Arial" w:cs="Arial" w:eastAsia="Arial" w:hAnsi="Arial"/>
          <w:sz w:val="22"/>
          <w:szCs w:val="22"/>
        </w:rPr>
        <w:t xml:space="preserve">The MOCT is not a conventional optoelectronic component. It is a semiconductor-grade photonic substrate requiring sub-micron lithographic precision, MEMS process integration, and multi-material co-fabrication. This is the most demanding manufacturing requirement in the Velsanet hardware stack — and the one where the three platform paths diverge most clearly.</w:t>
      </w:r>
    </w:p>
    <w:p>
      <w:r>
        <w:t xml:space="preserve"/>
      </w:r>
    </w:p>
    <w:p>
      <w:pPr>
        <w:spacing w:before="200" w:after="60"/>
      </w:pPr>
      <w:r>
        <w:rPr>
          <w:rFonts w:ascii="Arial" w:cs="Arial" w:eastAsia="Arial" w:hAnsi="Arial"/>
          <w:b/>
          <w:bCs/>
          <w:caps/>
          <w:color w:val="00A4EF"/>
          <w:spacing w:val="60"/>
          <w:sz w:val="18"/>
          <w:szCs w:val="18"/>
        </w:rPr>
        <w:t xml:space="preserve">PATH A — Samsung Foundry</w:t>
      </w:r>
    </w:p>
    <w:p>
      <w:pPr>
        <w:spacing w:before="200" w:after="80"/>
      </w:pPr>
      <w:r>
        <w:rPr>
          <w:rFonts w:ascii="Arial" w:cs="Arial" w:eastAsia="Arial" w:hAnsi="Arial"/>
          <w:b/>
          <w:bCs/>
          <w:color w:val="00A4EF"/>
          <w:sz w:val="24"/>
          <w:szCs w:val="24"/>
        </w:rPr>
        <w:t xml:space="preserve">SF3 / SF4 Process + MEMS PDK + H-Cube Packaging</w:t>
      </w:r>
    </w:p>
    <w:p>
      <w:pPr>
        <w:spacing w:before="60" w:after="60"/>
      </w:pPr>
      <w:r>
        <w:rPr>
          <w:rFonts w:ascii="Arial" w:cs="Arial" w:eastAsia="Arial" w:hAnsi="Arial"/>
          <w:sz w:val="22"/>
          <w:szCs w:val="22"/>
        </w:rPr>
        <w:t xml:space="preserve">Samsung Foundry's advanced GAA processes provide the lithographic precision required for MOCT polymer waveguide structures. Samsung offers an integrated path covering silicon photonics PDK, MEMS foundry capability for MAI alignment fixtures, and H-Cube / X-Cube heterogeneous packaging for multi-die optical+electronic integration.</w:t>
      </w:r>
    </w:p>
    <w:p>
      <w:pPr>
        <w:pStyle w:val="ListParagraph"/>
        <w:numPr>
          <w:ilvl w:val="0"/>
          <w:numId w:val="2"/>
        </w:numPr>
        <w:spacing w:before="40" w:after="40"/>
      </w:pPr>
      <w:r>
        <w:rPr>
          <w:rFonts w:ascii="Arial" w:cs="Arial" w:eastAsia="Arial" w:hAnsi="Arial"/>
          <w:sz w:val="22"/>
          <w:szCs w:val="22"/>
        </w:rPr>
        <w:t xml:space="preserve">Silicon photonics PDK: integrated waveguide structures on SF4 GAA process</w:t>
      </w:r>
    </w:p>
    <w:p>
      <w:pPr>
        <w:pStyle w:val="ListParagraph"/>
        <w:numPr>
          <w:ilvl w:val="0"/>
          <w:numId w:val="2"/>
        </w:numPr>
        <w:spacing w:before="40" w:after="40"/>
      </w:pPr>
      <w:r>
        <w:rPr>
          <w:rFonts w:ascii="Arial" w:cs="Arial" w:eastAsia="Arial" w:hAnsi="Arial"/>
          <w:sz w:val="22"/>
          <w:szCs w:val="22"/>
        </w:rPr>
        <w:t xml:space="preserve">MEMS process integration: MAI static alignment fixture fabrication</w:t>
      </w:r>
    </w:p>
    <w:p>
      <w:pPr>
        <w:pStyle w:val="ListParagraph"/>
        <w:numPr>
          <w:ilvl w:val="0"/>
          <w:numId w:val="2"/>
        </w:numPr>
        <w:spacing w:before="40" w:after="40"/>
      </w:pPr>
      <w:r>
        <w:rPr>
          <w:rFonts w:ascii="Arial" w:cs="Arial" w:eastAsia="Arial" w:hAnsi="Arial"/>
          <w:sz w:val="22"/>
          <w:szCs w:val="22"/>
        </w:rPr>
        <w:t xml:space="preserve">H-Cube / X-Cube: multi-die stacking of photonic and electronic layers</w:t>
      </w:r>
    </w:p>
    <w:p>
      <w:pPr>
        <w:pStyle w:val="ListParagraph"/>
        <w:numPr>
          <w:ilvl w:val="0"/>
          <w:numId w:val="2"/>
        </w:numPr>
        <w:spacing w:before="40" w:after="40"/>
      </w:pPr>
      <w:r>
        <w:rPr>
          <w:rFonts w:ascii="Arial" w:cs="Arial" w:eastAsia="Arial" w:hAnsi="Arial"/>
          <w:sz w:val="22"/>
          <w:szCs w:val="22"/>
        </w:rPr>
        <w:t xml:space="preserve">Samsung MEMS foundry: separate process line for MEMS structures if needed</w:t>
      </w:r>
    </w:p>
    <w:p>
      <w:pPr>
        <w:pStyle w:val="ListParagraph"/>
        <w:numPr>
          <w:ilvl w:val="0"/>
          <w:numId w:val="2"/>
        </w:numPr>
        <w:spacing w:before="40" w:after="40"/>
      </w:pPr>
      <w:r>
        <w:rPr>
          <w:rFonts w:ascii="Arial" w:cs="Arial" w:eastAsia="Arial" w:hAnsi="Arial"/>
          <w:sz w:val="22"/>
          <w:szCs w:val="22"/>
        </w:rPr>
        <w:t xml:space="preserve">Strategic note: only Korean domestic partner covering entire hardware stack in a single engagement</w:t>
      </w:r>
    </w:p>
    <w:p>
      <w:r>
        <w:t xml:space="preserve"/>
      </w:r>
    </w:p>
    <w:p>
      <w:pPr>
        <w:spacing w:before="200" w:after="60"/>
      </w:pPr>
      <w:r>
        <w:rPr>
          <w:rFonts w:ascii="Arial" w:cs="Arial" w:eastAsia="Arial" w:hAnsi="Arial"/>
          <w:b/>
          <w:bCs/>
          <w:caps/>
          <w:color w:val="76B900"/>
          <w:spacing w:val="60"/>
          <w:sz w:val="18"/>
          <w:szCs w:val="18"/>
        </w:rPr>
        <w:t xml:space="preserve">PATH B — TSMC</w:t>
      </w:r>
    </w:p>
    <w:p>
      <w:pPr>
        <w:spacing w:before="200" w:after="80"/>
      </w:pPr>
      <w:r>
        <w:rPr>
          <w:rFonts w:ascii="Arial" w:cs="Arial" w:eastAsia="Arial" w:hAnsi="Arial"/>
          <w:b/>
          <w:bCs/>
          <w:color w:val="76B900"/>
          <w:sz w:val="24"/>
          <w:szCs w:val="24"/>
        </w:rPr>
        <w:t xml:space="preserve">SiPho PDK + N3P + CoWoS-L Packaging</w:t>
      </w:r>
    </w:p>
    <w:p>
      <w:pPr>
        <w:spacing w:before="60" w:after="60"/>
      </w:pPr>
      <w:r>
        <w:rPr>
          <w:rFonts w:ascii="Arial" w:cs="Arial" w:eastAsia="Arial" w:hAnsi="Arial"/>
          <w:sz w:val="22"/>
          <w:szCs w:val="22"/>
        </w:rPr>
        <w:t xml:space="preserve">TSMC's silicon photonics PDK is production-proven at scale in commercial co-packaged optics (CPO) applications for hyperscaler data centers. TSMC offers photonics-on-CMOS co-fabrication, where optical and electronic functions share a single wafer process. CoWoS-L enables 2.5D multi-die integration of photonic, compute, and memory dies on a single silicon interposer.</w:t>
      </w:r>
    </w:p>
    <w:p>
      <w:pPr>
        <w:pStyle w:val="ListParagraph"/>
        <w:numPr>
          <w:ilvl w:val="0"/>
          <w:numId w:val="2"/>
        </w:numPr>
        <w:spacing w:before="40" w:after="40"/>
      </w:pPr>
      <w:r>
        <w:rPr>
          <w:rFonts w:ascii="Arial" w:cs="Arial" w:eastAsia="Arial" w:hAnsi="Arial"/>
          <w:sz w:val="22"/>
          <w:szCs w:val="22"/>
        </w:rPr>
        <w:t xml:space="preserve">TSMC SiPho PDK: production-grade — waveguides, modulators, Ge photodetectors on CMOS</w:t>
      </w:r>
    </w:p>
    <w:p>
      <w:pPr>
        <w:pStyle w:val="ListParagraph"/>
        <w:numPr>
          <w:ilvl w:val="0"/>
          <w:numId w:val="2"/>
        </w:numPr>
        <w:spacing w:before="40" w:after="40"/>
      </w:pPr>
      <w:r>
        <w:rPr>
          <w:rFonts w:ascii="Arial" w:cs="Arial" w:eastAsia="Arial" w:hAnsi="Arial"/>
          <w:sz w:val="22"/>
          <w:szCs w:val="22"/>
        </w:rPr>
        <w:t xml:space="preserve">N3P (3nm): dimensional control for integrated MEMS alignment structures</w:t>
      </w:r>
    </w:p>
    <w:p>
      <w:pPr>
        <w:pStyle w:val="ListParagraph"/>
        <w:numPr>
          <w:ilvl w:val="0"/>
          <w:numId w:val="2"/>
        </w:numPr>
        <w:spacing w:before="40" w:after="40"/>
      </w:pPr>
      <w:r>
        <w:rPr>
          <w:rFonts w:ascii="Arial" w:cs="Arial" w:eastAsia="Arial" w:hAnsi="Arial"/>
          <w:sz w:val="22"/>
          <w:szCs w:val="22"/>
        </w:rPr>
        <w:t xml:space="preserve">CoWoS-L: 2.5D co-packaging — photonic + compute + HBM3e on single interposer</w:t>
      </w:r>
    </w:p>
    <w:p>
      <w:pPr>
        <w:pStyle w:val="ListParagraph"/>
        <w:numPr>
          <w:ilvl w:val="0"/>
          <w:numId w:val="2"/>
        </w:numPr>
        <w:spacing w:before="40" w:after="40"/>
      </w:pPr>
      <w:r>
        <w:rPr>
          <w:rFonts w:ascii="Arial" w:cs="Arial" w:eastAsia="Arial" w:hAnsi="Arial"/>
          <w:sz w:val="22"/>
          <w:szCs w:val="22"/>
        </w:rPr>
        <w:t xml:space="preserve">InFO: thin-form-factor integration for MOCT polymer-form optical core layer</w:t>
      </w:r>
    </w:p>
    <w:p>
      <w:pPr>
        <w:pStyle w:val="ListParagraph"/>
        <w:numPr>
          <w:ilvl w:val="0"/>
          <w:numId w:val="2"/>
        </w:numPr>
        <w:spacing w:before="40" w:after="40"/>
      </w:pPr>
      <w:r>
        <w:rPr>
          <w:rFonts w:ascii="Arial" w:cs="Arial" w:eastAsia="Arial" w:hAnsi="Arial"/>
          <w:sz w:val="22"/>
          <w:szCs w:val="22"/>
        </w:rPr>
        <w:t xml:space="preserve">Strategic note: CPO production experience directly maps to MOCT; current industry frontier for SiPho at scale</w:t>
      </w:r>
    </w:p>
    <w:p>
      <w:r>
        <w:t xml:space="preserve"/>
      </w:r>
    </w:p>
    <w:p>
      <w:pPr>
        <w:spacing w:before="200" w:after="60"/>
      </w:pPr>
      <w:r>
        <w:rPr>
          <w:rFonts w:ascii="Arial" w:cs="Arial" w:eastAsia="Arial" w:hAnsi="Arial"/>
          <w:b/>
          <w:bCs/>
          <w:caps/>
          <w:color w:val="0068B5"/>
          <w:spacing w:val="60"/>
          <w:sz w:val="18"/>
          <w:szCs w:val="18"/>
        </w:rPr>
        <w:t xml:space="preserve">PATH C — Intel Foundry</w:t>
      </w:r>
    </w:p>
    <w:p>
      <w:pPr>
        <w:spacing w:before="200" w:after="80"/>
      </w:pPr>
      <w:r>
        <w:rPr>
          <w:rFonts w:ascii="Arial" w:cs="Arial" w:eastAsia="Arial" w:hAnsi="Arial"/>
          <w:b/>
          <w:bCs/>
          <w:color w:val="0068B5"/>
          <w:sz w:val="24"/>
          <w:szCs w:val="24"/>
        </w:rPr>
        <w:t xml:space="preserve">18A Process + Intel SiPho PDK + EMIB / Foveros</w:t>
      </w:r>
    </w:p>
    <w:p>
      <w:pPr>
        <w:spacing w:before="60" w:after="60"/>
      </w:pPr>
      <w:r>
        <w:rPr>
          <w:rFonts w:ascii="Arial" w:cs="Arial" w:eastAsia="Arial" w:hAnsi="Arial"/>
          <w:sz w:val="22"/>
          <w:szCs w:val="22"/>
        </w:rPr>
        <w:t xml:space="preserve">Intel is the originator of silicon photonics as a manufacturing discipline, having produced the world's first silicon Raman laser (2005) and the first GHz-speed silicon modulator (2004). Intel Foundry's SiPho PDK is built on decades of production experience, now available to external customers through Intel Foundry Services. Intel's EMIB and Foveros packaging technologies provide unique die-to-die integration paths for the MOCT's multi-layer structure.</w:t>
      </w:r>
    </w:p>
    <w:p>
      <w:pPr>
        <w:pStyle w:val="ListParagraph"/>
        <w:numPr>
          <w:ilvl w:val="0"/>
          <w:numId w:val="2"/>
        </w:numPr>
        <w:spacing w:before="40" w:after="40"/>
      </w:pPr>
      <w:r>
        <w:rPr>
          <w:rFonts w:ascii="Arial" w:cs="Arial" w:eastAsia="Arial" w:hAnsi="Arial"/>
          <w:sz w:val="22"/>
          <w:szCs w:val="22"/>
        </w:rPr>
        <w:t xml:space="preserve">Intel SiPho PDK: deepest heritage — originator of silicon photonics manufacturing</w:t>
      </w:r>
    </w:p>
    <w:p>
      <w:pPr>
        <w:pStyle w:val="ListParagraph"/>
        <w:numPr>
          <w:ilvl w:val="0"/>
          <w:numId w:val="2"/>
        </w:numPr>
        <w:spacing w:before="40" w:after="40"/>
      </w:pPr>
      <w:r>
        <w:rPr>
          <w:rFonts w:ascii="Arial" w:cs="Arial" w:eastAsia="Arial" w:hAnsi="Arial"/>
          <w:sz w:val="22"/>
          <w:szCs w:val="22"/>
        </w:rPr>
        <w:t xml:space="preserve">Intel 18A (1.8nm-class RibbonFET GAA): highest-precision logic for MOCT control circuits</w:t>
      </w:r>
    </w:p>
    <w:p>
      <w:pPr>
        <w:pStyle w:val="ListParagraph"/>
        <w:numPr>
          <w:ilvl w:val="0"/>
          <w:numId w:val="2"/>
        </w:numPr>
        <w:spacing w:before="40" w:after="40"/>
      </w:pPr>
      <w:r>
        <w:rPr>
          <w:rFonts w:ascii="Arial" w:cs="Arial" w:eastAsia="Arial" w:hAnsi="Arial"/>
          <w:sz w:val="22"/>
          <w:szCs w:val="22"/>
        </w:rPr>
        <w:t xml:space="preserve">EMIB: 2.5D die-to-die bridge interconnect — avoids full interposer cost</w:t>
      </w:r>
    </w:p>
    <w:p>
      <w:pPr>
        <w:pStyle w:val="ListParagraph"/>
        <w:numPr>
          <w:ilvl w:val="0"/>
          <w:numId w:val="2"/>
        </w:numPr>
        <w:spacing w:before="40" w:after="40"/>
      </w:pPr>
      <w:r>
        <w:rPr>
          <w:rFonts w:ascii="Arial" w:cs="Arial" w:eastAsia="Arial" w:hAnsi="Arial"/>
          <w:sz w:val="22"/>
          <w:szCs w:val="22"/>
        </w:rPr>
        <w:t xml:space="preserve">Foveros 3D: vertical stacking for MOCT polymer optical core + control circuit integration</w:t>
      </w:r>
    </w:p>
    <w:p>
      <w:pPr>
        <w:pStyle w:val="ListParagraph"/>
        <w:numPr>
          <w:ilvl w:val="0"/>
          <w:numId w:val="2"/>
        </w:numPr>
        <w:spacing w:before="40" w:after="40"/>
      </w:pPr>
      <w:r>
        <w:rPr>
          <w:rFonts w:ascii="Arial" w:cs="Arial" w:eastAsia="Arial" w:hAnsi="Arial"/>
          <w:sz w:val="22"/>
          <w:szCs w:val="22"/>
        </w:rPr>
        <w:t xml:space="preserve">800G CPO in production today: proven fabrication at MOCT-adjacent density</w:t>
      </w:r>
    </w:p>
    <w:p>
      <w:pPr>
        <w:pStyle w:val="ListParagraph"/>
        <w:numPr>
          <w:ilvl w:val="0"/>
          <w:numId w:val="2"/>
        </w:numPr>
        <w:spacing w:before="40" w:after="40"/>
      </w:pPr>
      <w:r>
        <w:rPr>
          <w:rFonts w:ascii="Arial" w:cs="Arial" w:eastAsia="Arial" w:hAnsi="Arial"/>
          <w:sz w:val="22"/>
          <w:szCs w:val="22"/>
        </w:rPr>
        <w:t xml:space="preserve">Strategic note: Intel CPO and Velsanet MOCT share the same principle — MOCT is an extension of Intel's CPO roadmap, not a departure from it</w:t>
      </w:r>
    </w:p>
    <w:p>
      <w:r>
        <w:t xml:space="preserve"/>
      </w:r>
    </w:p>
    <w:p>
      <w:pPr>
        <w:pStyle w:val="Heading2"/>
        <w:spacing w:before="320" w:after="120"/>
      </w:pPr>
      <w:r>
        <w:rPr>
          <w:rFonts w:ascii="Arial" w:cs="Arial" w:eastAsia="Arial" w:hAnsi="Arial"/>
          <w:b/>
          <w:bCs/>
          <w:color w:val="1A3A6B"/>
          <w:sz w:val="28"/>
          <w:szCs w:val="28"/>
        </w:rPr>
        <w:t xml:space="preserve">2.1  MOCT Fabrication Path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50"/>
        <w:gridCol w:w="24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Criterion</w:t>
            </w:r>
          </w:p>
        </w:tc>
        <w:tc>
          <w:tcPr>
            <w:tcW w:type="dxa" w:w="245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Samsung Foundry</w:t>
            </w:r>
          </w:p>
        </w:tc>
        <w:tc>
          <w:tcPr>
            <w:tcW w:type="dxa" w:w="245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TSMC</w:t>
            </w:r>
          </w:p>
        </w:tc>
        <w:tc>
          <w:tcPr>
            <w:tcW w:type="dxa" w:w="246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Foundry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SiPho PDK maturity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Growing — SF4 photonics emerging</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Production-proven (CPO at scale)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Originator — 20+ years heritage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MEMS integration</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Dedicated MEMS foundry available</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CMOS-compatible passive alignment</w:t>
            </w:r>
          </w:p>
        </w:tc>
        <w:tc>
          <w:tcPr>
            <w:tcW w:type="dxa" w:w="24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MEMS structures on 18A compatible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Multi-die packaging</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H-Cube / X-Cube</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CoWoS-L (industry leading)</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EMIB + Foveros</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Process node</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SF3 / SF4 (3–4nm GAA)</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N3P (3nm FinFET+)</w:t>
            </w:r>
          </w:p>
        </w:tc>
        <w:tc>
          <w:tcPr>
            <w:tcW w:type="dxa" w:w="24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18A (1.8nm RibbonFET)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CPO production</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Limited (research phase)</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volume (hyperscalers)</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800G in production</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Strategic fit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Domestic Korean partner</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Global CPO standard platform</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Deepest photonics expertise</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3 — Dedicated Equipment: Optical↔AI Channel Bridge</w:t>
      </w:r>
    </w:p>
    <w:p>
      <w:pPr>
        <w:spacing w:before="60" w:after="60"/>
      </w:pPr>
      <w:r>
        <w:rPr>
          <w:rFonts w:ascii="Arial" w:cs="Arial" w:eastAsia="Arial" w:hAnsi="Arial"/>
          <w:sz w:val="22"/>
          <w:szCs w:val="22"/>
        </w:rPr>
        <w:t xml:space="preserve">The Dedicated Equipment is Velsanet's synaptic transformer — the real-time hardware bridge between the MOCT optical physical layer and the PAI/AAI/AsAI cognitive layers. It must perform 384-lane optical demultiplexing, 8-channel PAI format conversion, 24-bundle AAI multiplexing, 12-to-20-face structural topology mapping, and DIKWEI gateway processing simultaneously at line rate. This is the highest-bandwidth, most structurally unique compute element in the architecture.</w:t>
      </w:r>
    </w:p>
    <w:p>
      <w:r>
        <w:t xml:space="preserve"/>
      </w:r>
    </w:p>
    <w:p>
      <w:pPr>
        <w:spacing w:before="200" w:after="60"/>
      </w:pPr>
      <w:r>
        <w:rPr>
          <w:rFonts w:ascii="Arial" w:cs="Arial" w:eastAsia="Arial" w:hAnsi="Arial"/>
          <w:b/>
          <w:bCs/>
          <w:caps/>
          <w:color w:val="00A4EF"/>
          <w:spacing w:val="60"/>
          <w:sz w:val="18"/>
          <w:szCs w:val="18"/>
        </w:rPr>
        <w:t xml:space="preserve">PATH A — Samsung System LSI (Exynos Custom SoC)</w:t>
      </w:r>
    </w:p>
    <w:p>
      <w:pPr>
        <w:spacing w:before="200" w:after="80"/>
      </w:pPr>
      <w:r>
        <w:rPr>
          <w:rFonts w:ascii="Arial" w:cs="Arial" w:eastAsia="Arial" w:hAnsi="Arial"/>
          <w:b/>
          <w:bCs/>
          <w:color w:val="00A4EF"/>
          <w:sz w:val="24"/>
          <w:szCs w:val="24"/>
        </w:rPr>
        <w:t xml:space="preserve">Exynos Platform + PUF Identity IP + LPDDR5X PHY</w:t>
      </w:r>
    </w:p>
    <w:p>
      <w:pPr>
        <w:spacing w:before="60" w:after="60"/>
      </w:pPr>
      <w:r>
        <w:rPr>
          <w:rFonts w:ascii="Arial" w:cs="Arial" w:eastAsia="Arial" w:hAnsi="Arial"/>
          <w:sz w:val="22"/>
          <w:szCs w:val="22"/>
        </w:rPr>
        <w:t xml:space="preserve">A custom Exynos SoC integrating ARM Cortex-A720 compute, Ethos-N78 NPU (or Samsung NPU), CMN-700 interconnect, and Samsung's PUF (Physical Unclonable Function) for Channel 1 manufacturing-time identity. This is a fully custom silicon path — highest design effort but maximum integration with Samsung's full manufacturing stack.</w:t>
      </w:r>
    </w:p>
    <w:p>
      <w:pPr>
        <w:pStyle w:val="ListParagraph"/>
        <w:numPr>
          <w:ilvl w:val="0"/>
          <w:numId w:val="2"/>
        </w:numPr>
        <w:spacing w:before="40" w:after="40"/>
      </w:pPr>
      <w:r>
        <w:rPr>
          <w:rFonts w:ascii="Arial" w:cs="Arial" w:eastAsia="Arial" w:hAnsi="Arial"/>
          <w:sz w:val="22"/>
          <w:szCs w:val="22"/>
        </w:rPr>
        <w:t xml:space="preserve">ARM Cortex-A720: deterministic structural topology mapping logic</w:t>
      </w:r>
    </w:p>
    <w:p>
      <w:pPr>
        <w:pStyle w:val="ListParagraph"/>
        <w:numPr>
          <w:ilvl w:val="0"/>
          <w:numId w:val="2"/>
        </w:numPr>
        <w:spacing w:before="40" w:after="40"/>
      </w:pPr>
      <w:r>
        <w:rPr>
          <w:rFonts w:ascii="Arial" w:cs="Arial" w:eastAsia="Arial" w:hAnsi="Arial"/>
          <w:sz w:val="22"/>
          <w:szCs w:val="22"/>
        </w:rPr>
        <w:t xml:space="preserve">Samsung NPU / Ethos-N78: DIKWEI cognitive cycle gateway inference</w:t>
      </w:r>
    </w:p>
    <w:p>
      <w:pPr>
        <w:pStyle w:val="ListParagraph"/>
        <w:numPr>
          <w:ilvl w:val="0"/>
          <w:numId w:val="2"/>
        </w:numPr>
        <w:spacing w:before="40" w:after="40"/>
      </w:pPr>
      <w:r>
        <w:rPr>
          <w:rFonts w:ascii="Arial" w:cs="Arial" w:eastAsia="Arial" w:hAnsi="Arial"/>
          <w:sz w:val="22"/>
          <w:szCs w:val="22"/>
        </w:rPr>
        <w:t xml:space="preserve">Samsung PUF: manufacturing-time identity — maps to Channel 1 physical-layer authentication</w:t>
      </w:r>
    </w:p>
    <w:p>
      <w:pPr>
        <w:pStyle w:val="ListParagraph"/>
        <w:numPr>
          <w:ilvl w:val="0"/>
          <w:numId w:val="2"/>
        </w:numPr>
        <w:spacing w:before="40" w:after="40"/>
      </w:pPr>
      <w:r>
        <w:rPr>
          <w:rFonts w:ascii="Arial" w:cs="Arial" w:eastAsia="Arial" w:hAnsi="Arial"/>
          <w:sz w:val="22"/>
          <w:szCs w:val="22"/>
        </w:rPr>
        <w:t xml:space="preserve">LPDDR5X PHY: 384-lane Cube state memory bandwidth</w:t>
      </w:r>
    </w:p>
    <w:p>
      <w:pPr>
        <w:pStyle w:val="ListParagraph"/>
        <w:numPr>
          <w:ilvl w:val="0"/>
          <w:numId w:val="2"/>
        </w:numPr>
        <w:spacing w:before="40" w:after="40"/>
      </w:pPr>
      <w:r>
        <w:rPr>
          <w:rFonts w:ascii="Arial" w:cs="Arial" w:eastAsia="Arial" w:hAnsi="Arial"/>
          <w:sz w:val="22"/>
          <w:szCs w:val="22"/>
        </w:rPr>
        <w:t xml:space="preserve">Samsung 5G modem IP: wireless interface path for H6/T4 node connectivity</w:t>
      </w:r>
    </w:p>
    <w:p>
      <w:r>
        <w:t xml:space="preserve"/>
      </w:r>
    </w:p>
    <w:p>
      <w:pPr>
        <w:spacing w:before="200" w:after="60"/>
      </w:pPr>
      <w:r>
        <w:rPr>
          <w:rFonts w:ascii="Arial" w:cs="Arial" w:eastAsia="Arial" w:hAnsi="Arial"/>
          <w:b/>
          <w:bCs/>
          <w:caps/>
          <w:color w:val="76B900"/>
          <w:spacing w:val="60"/>
          <w:sz w:val="18"/>
          <w:szCs w:val="18"/>
        </w:rPr>
        <w:t xml:space="preserve">PATH B — NVIDIA BlueField-3 DPU</w:t>
      </w:r>
    </w:p>
    <w:p>
      <w:pPr>
        <w:spacing w:before="200" w:after="80"/>
      </w:pPr>
      <w:r>
        <w:rPr>
          <w:rFonts w:ascii="Arial" w:cs="Arial" w:eastAsia="Arial" w:hAnsi="Arial"/>
          <w:b/>
          <w:bCs/>
          <w:color w:val="76B900"/>
          <w:sz w:val="24"/>
          <w:szCs w:val="24"/>
        </w:rPr>
        <w:t xml:space="preserve">BlueField-3 + DOCA Programmable Data Plane</w:t>
      </w:r>
    </w:p>
    <w:p>
      <w:pPr>
        <w:spacing w:before="60" w:after="60"/>
      </w:pPr>
      <w:r>
        <w:rPr>
          <w:rFonts w:ascii="Arial" w:cs="Arial" w:eastAsia="Arial" w:hAnsi="Arial"/>
          <w:sz w:val="22"/>
          <w:szCs w:val="22"/>
        </w:rPr>
        <w:t xml:space="preserve">The BlueField-3 DPU is the closest existing product to Velsanet's Dedicated Equipment in terms of structural role: it sits between network fabric and host compute, performing offload, transformation, and protocol processing. The DOCA (Data-center On-a-Chip Architecture) platform allows custom Velsanet channel mapping logic to be implemented in the programmable data plane without custom ASIC development.</w:t>
      </w:r>
    </w:p>
    <w:p>
      <w:pPr>
        <w:pStyle w:val="ListParagraph"/>
        <w:numPr>
          <w:ilvl w:val="0"/>
          <w:numId w:val="2"/>
        </w:numPr>
        <w:spacing w:before="40" w:after="40"/>
      </w:pPr>
      <w:r>
        <w:rPr>
          <w:rFonts w:ascii="Arial" w:cs="Arial" w:eastAsia="Arial" w:hAnsi="Arial"/>
          <w:sz w:val="22"/>
          <w:szCs w:val="22"/>
        </w:rPr>
        <w:t xml:space="preserve">400Gb/s fabric interface: sufficient for 384-lane Cube parallel data ingress</w:t>
      </w:r>
    </w:p>
    <w:p>
      <w:pPr>
        <w:pStyle w:val="ListParagraph"/>
        <w:numPr>
          <w:ilvl w:val="0"/>
          <w:numId w:val="2"/>
        </w:numPr>
        <w:spacing w:before="40" w:after="40"/>
      </w:pPr>
      <w:r>
        <w:rPr>
          <w:rFonts w:ascii="Arial" w:cs="Arial" w:eastAsia="Arial" w:hAnsi="Arial"/>
          <w:sz w:val="22"/>
          <w:szCs w:val="22"/>
        </w:rPr>
        <w:t xml:space="preserve">DOCA programmable pipeline: Cube→PAI demux and PAI→AAI mux implementable in P4</w:t>
      </w:r>
    </w:p>
    <w:p>
      <w:pPr>
        <w:pStyle w:val="ListParagraph"/>
        <w:numPr>
          <w:ilvl w:val="0"/>
          <w:numId w:val="2"/>
        </w:numPr>
        <w:spacing w:before="40" w:after="40"/>
      </w:pPr>
      <w:r>
        <w:rPr>
          <w:rFonts w:ascii="Arial" w:cs="Arial" w:eastAsia="Arial" w:hAnsi="Arial"/>
          <w:sz w:val="22"/>
          <w:szCs w:val="22"/>
        </w:rPr>
        <w:t xml:space="preserve">Embedded ARM Cortex-A78: AAI structural topology conversion (12-face ↔ 20-face)</w:t>
      </w:r>
    </w:p>
    <w:p>
      <w:pPr>
        <w:pStyle w:val="ListParagraph"/>
        <w:numPr>
          <w:ilvl w:val="0"/>
          <w:numId w:val="2"/>
        </w:numPr>
        <w:spacing w:before="40" w:after="40"/>
      </w:pPr>
      <w:r>
        <w:rPr>
          <w:rFonts w:ascii="Arial" w:cs="Arial" w:eastAsia="Arial" w:hAnsi="Arial"/>
          <w:sz w:val="22"/>
          <w:szCs w:val="22"/>
        </w:rPr>
        <w:t xml:space="preserve">Hardware crypto engine: Channel 1 physical-layer authentication</w:t>
      </w:r>
    </w:p>
    <w:p>
      <w:pPr>
        <w:pStyle w:val="ListParagraph"/>
        <w:numPr>
          <w:ilvl w:val="0"/>
          <w:numId w:val="2"/>
        </w:numPr>
        <w:spacing w:before="40" w:after="40"/>
      </w:pPr>
      <w:r>
        <w:rPr>
          <w:rFonts w:ascii="Arial" w:cs="Arial" w:eastAsia="Arial" w:hAnsi="Arial"/>
          <w:sz w:val="22"/>
          <w:szCs w:val="22"/>
        </w:rPr>
        <w:t xml:space="preserve">Available today: production hardware — fastest prototype path</w:t>
      </w:r>
    </w:p>
    <w:p>
      <w:pPr>
        <w:pStyle w:val="ListParagraph"/>
        <w:numPr>
          <w:ilvl w:val="0"/>
          <w:numId w:val="2"/>
        </w:numPr>
        <w:spacing w:before="40" w:after="40"/>
      </w:pPr>
      <w:r>
        <w:rPr>
          <w:rFonts w:ascii="Arial" w:cs="Arial" w:eastAsia="Arial" w:hAnsi="Arial"/>
          <w:sz w:val="22"/>
          <w:szCs w:val="22"/>
        </w:rPr>
        <w:t xml:space="preserve">ConnectX-8 roadmap: 800Gb/s — matches MOCT Phase 3 core density</w:t>
      </w:r>
    </w:p>
    <w:p>
      <w:r>
        <w:t xml:space="preserve"/>
      </w:r>
    </w:p>
    <w:p>
      <w:pPr>
        <w:spacing w:before="200" w:after="60"/>
      </w:pPr>
      <w:r>
        <w:rPr>
          <w:rFonts w:ascii="Arial" w:cs="Arial" w:eastAsia="Arial" w:hAnsi="Arial"/>
          <w:b/>
          <w:bCs/>
          <w:caps/>
          <w:color w:val="0068B5"/>
          <w:spacing w:val="60"/>
          <w:sz w:val="18"/>
          <w:szCs w:val="18"/>
        </w:rPr>
        <w:t xml:space="preserve">PATH C — Intel IPU (Mount Evans)</w:t>
      </w:r>
    </w:p>
    <w:p>
      <w:pPr>
        <w:spacing w:before="200" w:after="80"/>
      </w:pPr>
      <w:r>
        <w:rPr>
          <w:rFonts w:ascii="Arial" w:cs="Arial" w:eastAsia="Arial" w:hAnsi="Arial"/>
          <w:b/>
          <w:bCs/>
          <w:color w:val="0068B5"/>
          <w:sz w:val="24"/>
          <w:szCs w:val="24"/>
        </w:rPr>
        <w:t xml:space="preserve">E2000 Infrastructure Processing Unit + P4 Pipeline</w:t>
      </w:r>
    </w:p>
    <w:p>
      <w:pPr>
        <w:spacing w:before="60" w:after="60"/>
      </w:pPr>
      <w:r>
        <w:rPr>
          <w:rFonts w:ascii="Arial" w:cs="Arial" w:eastAsia="Arial" w:hAnsi="Arial"/>
          <w:sz w:val="22"/>
          <w:szCs w:val="22"/>
        </w:rPr>
        <w:t xml:space="preserve">Intel's IPU (Infrastructure Processing Unit), codenamed Mount Evans, was purpose-built to offload infrastructure processing from host compute — sitting structurally between the network fabric and server CPUs. This is the most precise architectural match for the Dedicated Equipment's role. Intel TDX (Trust Domain Extensions) provides the hardware-enforced isolation equivalent to Velsanet's PAI sovereignty boundary.</w:t>
      </w:r>
    </w:p>
    <w:p>
      <w:pPr>
        <w:pStyle w:val="ListParagraph"/>
        <w:numPr>
          <w:ilvl w:val="0"/>
          <w:numId w:val="2"/>
        </w:numPr>
        <w:spacing w:before="40" w:after="40"/>
      </w:pPr>
      <w:r>
        <w:rPr>
          <w:rFonts w:ascii="Arial" w:cs="Arial" w:eastAsia="Arial" w:hAnsi="Arial"/>
          <w:sz w:val="22"/>
          <w:szCs w:val="22"/>
        </w:rPr>
        <w:t xml:space="preserve">P4-programmable data plane: Velsanet channel mapping logic without custom ASIC</w:t>
      </w:r>
    </w:p>
    <w:p>
      <w:pPr>
        <w:pStyle w:val="ListParagraph"/>
        <w:numPr>
          <w:ilvl w:val="0"/>
          <w:numId w:val="2"/>
        </w:numPr>
        <w:spacing w:before="40" w:after="40"/>
      </w:pPr>
      <w:r>
        <w:rPr>
          <w:rFonts w:ascii="Arial" w:cs="Arial" w:eastAsia="Arial" w:hAnsi="Arial"/>
          <w:sz w:val="22"/>
          <w:szCs w:val="22"/>
        </w:rPr>
        <w:t xml:space="preserve">ARM Neoverse-class cores: DIKWEI gateway and topology conversion logic</w:t>
      </w:r>
    </w:p>
    <w:p>
      <w:pPr>
        <w:pStyle w:val="ListParagraph"/>
        <w:numPr>
          <w:ilvl w:val="0"/>
          <w:numId w:val="2"/>
        </w:numPr>
        <w:spacing w:before="40" w:after="40"/>
      </w:pPr>
      <w:r>
        <w:rPr>
          <w:rFonts w:ascii="Arial" w:cs="Arial" w:eastAsia="Arial" w:hAnsi="Arial"/>
          <w:sz w:val="22"/>
          <w:szCs w:val="22"/>
        </w:rPr>
        <w:t xml:space="preserve">100Gb/s+ network interface: 384-lane Cube ingress capable</w:t>
      </w:r>
    </w:p>
    <w:p>
      <w:pPr>
        <w:pStyle w:val="ListParagraph"/>
        <w:numPr>
          <w:ilvl w:val="0"/>
          <w:numId w:val="2"/>
        </w:numPr>
        <w:spacing w:before="40" w:after="40"/>
      </w:pPr>
      <w:r>
        <w:rPr>
          <w:rFonts w:ascii="Arial" w:cs="Arial" w:eastAsia="Arial" w:hAnsi="Arial"/>
          <w:sz w:val="22"/>
          <w:szCs w:val="22"/>
        </w:rPr>
        <w:t xml:space="preserve">Intel TDX: hardware domain isolation — Channel 1 identity and PAI sovereignty</w:t>
      </w:r>
    </w:p>
    <w:p>
      <w:pPr>
        <w:pStyle w:val="ListParagraph"/>
        <w:numPr>
          <w:ilvl w:val="0"/>
          <w:numId w:val="2"/>
        </w:numPr>
        <w:spacing w:before="40" w:after="40"/>
      </w:pPr>
      <w:r>
        <w:rPr>
          <w:rFonts w:ascii="Arial" w:cs="Arial" w:eastAsia="Arial" w:hAnsi="Arial"/>
          <w:sz w:val="22"/>
          <w:szCs w:val="22"/>
        </w:rPr>
        <w:t xml:space="preserve">E2000 SoC: production silicon — available for prototype development today</w:t>
      </w:r>
    </w:p>
    <w:p>
      <w:r>
        <w:t xml:space="preserve"/>
      </w:r>
    </w:p>
    <w:p>
      <w:pPr>
        <w:pStyle w:val="Heading2"/>
        <w:spacing w:before="320" w:after="120"/>
      </w:pPr>
      <w:r>
        <w:rPr>
          <w:rFonts w:ascii="Arial" w:cs="Arial" w:eastAsia="Arial" w:hAnsi="Arial"/>
          <w:b/>
          <w:bCs/>
          <w:color w:val="1A3A6B"/>
          <w:sz w:val="28"/>
          <w:szCs w:val="28"/>
        </w:rPr>
        <w:t xml:space="preserve">3.1  Dedicated Equipment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50"/>
        <w:gridCol w:w="24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Criterion</w:t>
            </w:r>
          </w:p>
        </w:tc>
        <w:tc>
          <w:tcPr>
            <w:tcW w:type="dxa" w:w="245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Samsung Exynos SoC</w:t>
            </w:r>
          </w:p>
        </w:tc>
        <w:tc>
          <w:tcPr>
            <w:tcW w:type="dxa" w:w="245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BlueField-3</w:t>
            </w:r>
          </w:p>
        </w:tc>
        <w:tc>
          <w:tcPr>
            <w:tcW w:type="dxa" w:w="246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IPU (E2000)</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Availability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design (12–18 months)</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 today</w:t>
            </w:r>
          </w:p>
        </w:tc>
        <w:tc>
          <w:tcPr>
            <w:tcW w:type="dxa" w:w="24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 today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Programmability</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Full custom — maximum control</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DOCA / P4 — high flexibility</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P4 — high flexibility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Bandwidth</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spec (design target)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400Gb/s (800 roadmap)</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100Gb/s+</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Identity / security</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Samsung PUF — mfg-time identity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HW crypto engine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TDX — domain isolation</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Structural fit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integration potential</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Closest structural role match</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Most precise architectural match</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4 — PAI Node (O8): Personal AI, Always-On Edge</w:t>
      </w:r>
    </w:p>
    <w:p>
      <w:pPr>
        <w:spacing w:before="60" w:after="60"/>
      </w:pPr>
      <w:r>
        <w:rPr>
          <w:rFonts w:ascii="Arial" w:cs="Arial" w:eastAsia="Arial" w:hAnsi="Arial"/>
          <w:sz w:val="22"/>
          <w:szCs w:val="22"/>
        </w:rPr>
        <w:t xml:space="preserve">PAI nodes are the distributed nervous system of Velsanet — potentially thousands of always-on instances running the DIKWEI cognitive cycle continuously at neighborhood scale. Each PAI represents one user's personal context, intent, and history. Requirements: ultra-low power (always-on), dedicated inference acceleration, 8-channel multimodal input processing, hardware identity isolation, local DIKWEI metadata storage.</w:t>
      </w:r>
    </w:p>
    <w:p>
      <w:r>
        <w:t xml:space="preserve"/>
      </w:r>
    </w:p>
    <w:p>
      <w:pPr>
        <w:spacing w:before="200" w:after="60"/>
      </w:pPr>
      <w:r>
        <w:rPr>
          <w:rFonts w:ascii="Arial" w:cs="Arial" w:eastAsia="Arial" w:hAnsi="Arial"/>
          <w:b/>
          <w:bCs/>
          <w:caps/>
          <w:color w:val="00A4EF"/>
          <w:spacing w:val="60"/>
          <w:sz w:val="18"/>
          <w:szCs w:val="18"/>
        </w:rPr>
        <w:t xml:space="preserve">PATH A — ARM Cortex-M55 + Ethos-U65</w:t>
      </w:r>
    </w:p>
    <w:p>
      <w:pPr>
        <w:spacing w:before="200" w:after="80"/>
      </w:pPr>
      <w:r>
        <w:rPr>
          <w:rFonts w:ascii="Arial" w:cs="Arial" w:eastAsia="Arial" w:hAnsi="Arial"/>
          <w:b/>
          <w:bCs/>
          <w:color w:val="00A4EF"/>
          <w:sz w:val="24"/>
          <w:szCs w:val="24"/>
        </w:rPr>
        <w:t xml:space="preserve">Helium SIMD + Dedicated NPU + TrustZone-M</w:t>
      </w:r>
    </w:p>
    <w:p>
      <w:pPr>
        <w:spacing w:before="60" w:after="60"/>
      </w:pPr>
      <w:r>
        <w:rPr>
          <w:rFonts w:ascii="Arial" w:cs="Arial" w:eastAsia="Arial" w:hAnsi="Arial"/>
          <w:sz w:val="22"/>
          <w:szCs w:val="22"/>
        </w:rPr>
        <w:t xml:space="preserve">The Cortex-M55 + Ethos-U65 combination is designed precisely for embedded always-on AI inference. The Cortex-M55's Helium (M-Profile Vector Extension) provides SIMD acceleration for the 8-channel PAI input stream, while the Ethos-U65 NPU handles DIKWEI inference cycle computation at sub-1W power. TrustZone-M provides PAI identity isolation at the hardware level.</w:t>
      </w:r>
    </w:p>
    <w:p>
      <w:pPr>
        <w:pStyle w:val="ListParagraph"/>
        <w:numPr>
          <w:ilvl w:val="0"/>
          <w:numId w:val="2"/>
        </w:numPr>
        <w:spacing w:before="40" w:after="40"/>
      </w:pPr>
      <w:r>
        <w:rPr>
          <w:rFonts w:ascii="Arial" w:cs="Arial" w:eastAsia="Arial" w:hAnsi="Arial"/>
          <w:sz w:val="22"/>
          <w:szCs w:val="22"/>
        </w:rPr>
        <w:t xml:space="preserve">Helium SIMD: 8-channel parallel cognitive input processing</w:t>
      </w:r>
    </w:p>
    <w:p>
      <w:pPr>
        <w:pStyle w:val="ListParagraph"/>
        <w:numPr>
          <w:ilvl w:val="0"/>
          <w:numId w:val="2"/>
        </w:numPr>
        <w:spacing w:before="40" w:after="40"/>
      </w:pPr>
      <w:r>
        <w:rPr>
          <w:rFonts w:ascii="Arial" w:cs="Arial" w:eastAsia="Arial" w:hAnsi="Arial"/>
          <w:sz w:val="22"/>
          <w:szCs w:val="22"/>
        </w:rPr>
        <w:t xml:space="preserve">Ethos-U65: dedicated DIKWEI inference without CPU involvement — always-on capable</w:t>
      </w:r>
    </w:p>
    <w:p>
      <w:pPr>
        <w:pStyle w:val="ListParagraph"/>
        <w:numPr>
          <w:ilvl w:val="0"/>
          <w:numId w:val="2"/>
        </w:numPr>
        <w:spacing w:before="40" w:after="40"/>
      </w:pPr>
      <w:r>
        <w:rPr>
          <w:rFonts w:ascii="Arial" w:cs="Arial" w:eastAsia="Arial" w:hAnsi="Arial"/>
          <w:sz w:val="22"/>
          <w:szCs w:val="22"/>
        </w:rPr>
        <w:t xml:space="preserve">TrustZone-M: hardware-enforced PAI identity isolation (Channel 1 sovereignty)</w:t>
      </w:r>
    </w:p>
    <w:p>
      <w:pPr>
        <w:pStyle w:val="ListParagraph"/>
        <w:numPr>
          <w:ilvl w:val="0"/>
          <w:numId w:val="2"/>
        </w:numPr>
        <w:spacing w:before="40" w:after="40"/>
      </w:pPr>
      <w:r>
        <w:rPr>
          <w:rFonts w:ascii="Arial" w:cs="Arial" w:eastAsia="Arial" w:hAnsi="Arial"/>
          <w:sz w:val="22"/>
          <w:szCs w:val="22"/>
        </w:rPr>
        <w:t xml:space="preserve">Sub-500mW active inference — feasible for always-on distributed deployment</w:t>
      </w:r>
    </w:p>
    <w:p>
      <w:pPr>
        <w:pStyle w:val="ListParagraph"/>
        <w:numPr>
          <w:ilvl w:val="0"/>
          <w:numId w:val="2"/>
        </w:numPr>
        <w:spacing w:before="40" w:after="40"/>
      </w:pPr>
      <w:r>
        <w:rPr>
          <w:rFonts w:ascii="Arial" w:cs="Arial" w:eastAsia="Arial" w:hAnsi="Arial"/>
          <w:sz w:val="22"/>
          <w:szCs w:val="22"/>
        </w:rPr>
        <w:t xml:space="preserve">Lowest power profile of the three paths — volume deployment advantage</w:t>
      </w:r>
    </w:p>
    <w:p>
      <w:r>
        <w:t xml:space="preserve"/>
      </w:r>
    </w:p>
    <w:p>
      <w:pPr>
        <w:spacing w:before="200" w:after="60"/>
      </w:pPr>
      <w:r>
        <w:rPr>
          <w:rFonts w:ascii="Arial" w:cs="Arial" w:eastAsia="Arial" w:hAnsi="Arial"/>
          <w:b/>
          <w:bCs/>
          <w:caps/>
          <w:color w:val="76B900"/>
          <w:spacing w:val="60"/>
          <w:sz w:val="18"/>
          <w:szCs w:val="18"/>
        </w:rPr>
        <w:t xml:space="preserve">PATH B — NVIDIA Jetson Orin NX</w:t>
      </w:r>
    </w:p>
    <w:p>
      <w:pPr>
        <w:spacing w:before="200" w:after="80"/>
      </w:pPr>
      <w:r>
        <w:rPr>
          <w:rFonts w:ascii="Arial" w:cs="Arial" w:eastAsia="Arial" w:hAnsi="Arial"/>
          <w:b/>
          <w:bCs/>
          <w:color w:val="76B900"/>
          <w:sz w:val="24"/>
          <w:szCs w:val="24"/>
        </w:rPr>
        <w:t xml:space="preserve">Ampere GPU + Dual DLA + Orin Security Engine</w:t>
      </w:r>
    </w:p>
    <w:p>
      <w:pPr>
        <w:spacing w:before="60" w:after="60"/>
      </w:pPr>
      <w:r>
        <w:rPr>
          <w:rFonts w:ascii="Arial" w:cs="Arial" w:eastAsia="Arial" w:hAnsi="Arial"/>
          <w:sz w:val="22"/>
          <w:szCs w:val="22"/>
        </w:rPr>
        <w:t xml:space="preserve">The Jetson Orin NX combines 1024 Ampere CUDA cores with dual DLA (Deep Learning Accelerator) engines within a 10–25W power envelope. The dual DLA enables always-on DIKWEI inference without activating the main GPU — preserving GPU resources for burst multimodal processing. NVIDIA TensorRT provides optimized inference runtime for the DIKWEI cognitive cycle.</w:t>
      </w:r>
    </w:p>
    <w:p>
      <w:pPr>
        <w:pStyle w:val="ListParagraph"/>
        <w:numPr>
          <w:ilvl w:val="0"/>
          <w:numId w:val="2"/>
        </w:numPr>
        <w:spacing w:before="40" w:after="40"/>
      </w:pPr>
      <w:r>
        <w:rPr>
          <w:rFonts w:ascii="Arial" w:cs="Arial" w:eastAsia="Arial" w:hAnsi="Arial"/>
          <w:sz w:val="22"/>
          <w:szCs w:val="22"/>
        </w:rPr>
        <w:t xml:space="preserve">Dual DLA engines: always-on DIKWEI inference, no GPU activation required</w:t>
      </w:r>
    </w:p>
    <w:p>
      <w:pPr>
        <w:pStyle w:val="ListParagraph"/>
        <w:numPr>
          <w:ilvl w:val="0"/>
          <w:numId w:val="2"/>
        </w:numPr>
        <w:spacing w:before="40" w:after="40"/>
      </w:pPr>
      <w:r>
        <w:rPr>
          <w:rFonts w:ascii="Arial" w:cs="Arial" w:eastAsia="Arial" w:hAnsi="Arial"/>
          <w:sz w:val="22"/>
          <w:szCs w:val="22"/>
        </w:rPr>
        <w:t xml:space="preserve">Ampere GPU: burst multimodal processing across 8 cognitive channels</w:t>
      </w:r>
    </w:p>
    <w:p>
      <w:pPr>
        <w:pStyle w:val="ListParagraph"/>
        <w:numPr>
          <w:ilvl w:val="0"/>
          <w:numId w:val="2"/>
        </w:numPr>
        <w:spacing w:before="40" w:after="40"/>
      </w:pPr>
      <w:r>
        <w:rPr>
          <w:rFonts w:ascii="Arial" w:cs="Arial" w:eastAsia="Arial" w:hAnsi="Arial"/>
          <w:sz w:val="22"/>
          <w:szCs w:val="22"/>
        </w:rPr>
        <w:t xml:space="preserve">Orin hardware security engine: root of trust for PAI identity</w:t>
      </w:r>
    </w:p>
    <w:p>
      <w:pPr>
        <w:pStyle w:val="ListParagraph"/>
        <w:numPr>
          <w:ilvl w:val="0"/>
          <w:numId w:val="2"/>
        </w:numPr>
        <w:spacing w:before="40" w:after="40"/>
      </w:pPr>
      <w:r>
        <w:rPr>
          <w:rFonts w:ascii="Arial" w:cs="Arial" w:eastAsia="Arial" w:hAnsi="Arial"/>
          <w:sz w:val="22"/>
          <w:szCs w:val="22"/>
        </w:rPr>
        <w:t xml:space="preserve">NVIDIA TensorRT: optimized DIKWEI model inference runtime</w:t>
      </w:r>
    </w:p>
    <w:p>
      <w:pPr>
        <w:pStyle w:val="ListParagraph"/>
        <w:numPr>
          <w:ilvl w:val="0"/>
          <w:numId w:val="2"/>
        </w:numPr>
        <w:spacing w:before="40" w:after="40"/>
      </w:pPr>
      <w:r>
        <w:rPr>
          <w:rFonts w:ascii="Arial" w:cs="Arial" w:eastAsia="Arial" w:hAnsi="Arial"/>
          <w:sz w:val="22"/>
          <w:szCs w:val="22"/>
        </w:rPr>
        <w:t xml:space="preserve">10–25W TDP: higher than ARM path but with significantly more burst capability</w:t>
      </w:r>
    </w:p>
    <w:p>
      <w:r>
        <w:t xml:space="preserve"/>
      </w:r>
    </w:p>
    <w:p>
      <w:pPr>
        <w:spacing w:before="200" w:after="60"/>
      </w:pPr>
      <w:r>
        <w:rPr>
          <w:rFonts w:ascii="Arial" w:cs="Arial" w:eastAsia="Arial" w:hAnsi="Arial"/>
          <w:b/>
          <w:bCs/>
          <w:caps/>
          <w:color w:val="0068B5"/>
          <w:spacing w:val="60"/>
          <w:sz w:val="18"/>
          <w:szCs w:val="18"/>
        </w:rPr>
        <w:t xml:space="preserve">PATH C — Intel Core Ultra (Meteor Lake)</w:t>
      </w:r>
    </w:p>
    <w:p>
      <w:pPr>
        <w:spacing w:before="200" w:after="80"/>
      </w:pPr>
      <w:r>
        <w:rPr>
          <w:rFonts w:ascii="Arial" w:cs="Arial" w:eastAsia="Arial" w:hAnsi="Arial"/>
          <w:b/>
          <w:bCs/>
          <w:color w:val="0068B5"/>
          <w:sz w:val="24"/>
          <w:szCs w:val="24"/>
        </w:rPr>
        <w:t xml:space="preserve">Dedicated NPU Tile + Heterogeneous Compute + TME</w:t>
      </w:r>
    </w:p>
    <w:p>
      <w:pPr>
        <w:spacing w:before="60" w:after="60"/>
      </w:pPr>
      <w:r>
        <w:rPr>
          <w:rFonts w:ascii="Arial" w:cs="Arial" w:eastAsia="Arial" w:hAnsi="Arial"/>
          <w:sz w:val="22"/>
          <w:szCs w:val="22"/>
        </w:rPr>
        <w:t xml:space="preserve">Intel Core Ultra introduces a dedicated NPU tile — physically separate from CPU and GPU — designed specifically for always-on ambient intelligence workloads. This is the most direct hardware match for PAI's always-on sequential inference requirement: the NPU runs the DIKWEI cycle without activating CPU or GPU cores. Intel Thread Director optimizes workload placement across heterogeneous tiles.</w:t>
      </w:r>
    </w:p>
    <w:p>
      <w:pPr>
        <w:pStyle w:val="ListParagraph"/>
        <w:numPr>
          <w:ilvl w:val="0"/>
          <w:numId w:val="2"/>
        </w:numPr>
        <w:spacing w:before="40" w:after="40"/>
      </w:pPr>
      <w:r>
        <w:rPr>
          <w:rFonts w:ascii="Arial" w:cs="Arial" w:eastAsia="Arial" w:hAnsi="Arial"/>
          <w:sz w:val="22"/>
          <w:szCs w:val="22"/>
        </w:rPr>
        <w:t xml:space="preserve">Dedicated NPU tile: always-on DIKWEI inference, independent of CPU and GPU</w:t>
      </w:r>
    </w:p>
    <w:p>
      <w:pPr>
        <w:pStyle w:val="ListParagraph"/>
        <w:numPr>
          <w:ilvl w:val="0"/>
          <w:numId w:val="2"/>
        </w:numPr>
        <w:spacing w:before="40" w:after="40"/>
      </w:pPr>
      <w:r>
        <w:rPr>
          <w:rFonts w:ascii="Arial" w:cs="Arial" w:eastAsia="Arial" w:hAnsi="Arial"/>
          <w:sz w:val="22"/>
          <w:szCs w:val="22"/>
        </w:rPr>
        <w:t xml:space="preserve">P-core + E-core + NPU + SoC tile: heterogeneous parallel processing of 8 cognitive channels</w:t>
      </w:r>
    </w:p>
    <w:p>
      <w:pPr>
        <w:pStyle w:val="ListParagraph"/>
        <w:numPr>
          <w:ilvl w:val="0"/>
          <w:numId w:val="2"/>
        </w:numPr>
        <w:spacing w:before="40" w:after="40"/>
      </w:pPr>
      <w:r>
        <w:rPr>
          <w:rFonts w:ascii="Arial" w:cs="Arial" w:eastAsia="Arial" w:hAnsi="Arial"/>
          <w:sz w:val="22"/>
          <w:szCs w:val="22"/>
        </w:rPr>
        <w:t xml:space="preserve">Intel Thread Director: intelligent workload routing to NPU for DIKWEI</w:t>
      </w:r>
    </w:p>
    <w:p>
      <w:pPr>
        <w:pStyle w:val="ListParagraph"/>
        <w:numPr>
          <w:ilvl w:val="0"/>
          <w:numId w:val="2"/>
        </w:numPr>
        <w:spacing w:before="40" w:after="40"/>
      </w:pPr>
      <w:r>
        <w:rPr>
          <w:rFonts w:ascii="Arial" w:cs="Arial" w:eastAsia="Arial" w:hAnsi="Arial"/>
          <w:sz w:val="22"/>
          <w:szCs w:val="22"/>
        </w:rPr>
        <w:t xml:space="preserve">Intel TME (Total Memory Encryption): PAI personal context protection</w:t>
      </w:r>
    </w:p>
    <w:p>
      <w:pPr>
        <w:pStyle w:val="ListParagraph"/>
        <w:numPr>
          <w:ilvl w:val="0"/>
          <w:numId w:val="2"/>
        </w:numPr>
        <w:spacing w:before="40" w:after="40"/>
      </w:pPr>
      <w:r>
        <w:rPr>
          <w:rFonts w:ascii="Arial" w:cs="Arial" w:eastAsia="Arial" w:hAnsi="Arial"/>
          <w:sz w:val="22"/>
          <w:szCs w:val="22"/>
        </w:rPr>
        <w:t xml:space="preserve">Intel 4 process: compact SoC for distributed deployment</w:t>
      </w:r>
    </w:p>
    <w:p>
      <w:r>
        <w:t xml:space="preserve"/>
      </w:r>
    </w:p>
    <w:p>
      <w:pPr>
        <w:pStyle w:val="Heading2"/>
        <w:spacing w:before="320" w:after="120"/>
      </w:pPr>
      <w:r>
        <w:rPr>
          <w:rFonts w:ascii="Arial" w:cs="Arial" w:eastAsia="Arial" w:hAnsi="Arial"/>
          <w:b/>
          <w:bCs/>
          <w:color w:val="1A3A6B"/>
          <w:sz w:val="28"/>
          <w:szCs w:val="28"/>
        </w:rPr>
        <w:t xml:space="preserve">4.1  PAI Node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50"/>
        <w:gridCol w:w="24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Criterion</w:t>
            </w:r>
          </w:p>
        </w:tc>
        <w:tc>
          <w:tcPr>
            <w:tcW w:type="dxa" w:w="245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Cortex-M55 + Ethos-U65</w:t>
            </w:r>
          </w:p>
        </w:tc>
        <w:tc>
          <w:tcPr>
            <w:tcW w:type="dxa" w:w="245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Jetson Orin NX</w:t>
            </w:r>
          </w:p>
        </w:tc>
        <w:tc>
          <w:tcPr>
            <w:tcW w:type="dxa" w:w="246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Core Ultra NPU</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Power (always-on)</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Sub-500mW — lowest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10–25W — highest</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2–9W — mid range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Inference engine</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Ethos-U65 NPU dedicated</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Dual DLA dedicated</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NPU tile dedicated</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Always-on capability</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Native — designed for this</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DLA enables it</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NPU tile enables it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Multimodal burst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Limited (Helium SIMD)</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(Ampere GPU)</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Mid (GPU tile + NPU)</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Identity isolation</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TrustZone-M (hardware)</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HW security engine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TME + TDX (hardware)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Volume cost</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Lowest (embedded class)</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(GPU SoC)</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Mid (client PC SoC)</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5 — AAI Node (D12): Regional Multi-Agent Coordination</w:t>
      </w:r>
    </w:p>
    <w:p>
      <w:pPr>
        <w:spacing w:before="60" w:after="60"/>
      </w:pPr>
      <w:r>
        <w:rPr>
          <w:rFonts w:ascii="Arial" w:cs="Arial" w:eastAsia="Arial" w:hAnsi="Arial"/>
          <w:sz w:val="22"/>
          <w:szCs w:val="22"/>
        </w:rPr>
        <w:t xml:space="preserve">AAI is the social validation and intent mediation layer — operating at D12 (Dodecahedron) nodes at district and city scale. It receives intent flows from regionally distributed PAI nodes, evaluates them against normative constraints (ethical, legal, policy), reconciles heterogeneous intents into Structured Intent Packets, and routes validated outputs to AsAI. AAI does not generate intent; it governs it.</w:t>
      </w:r>
    </w:p>
    <w:p>
      <w:r>
        <w:t xml:space="preserve"/>
      </w:r>
    </w:p>
    <w:p>
      <w:pPr>
        <w:spacing w:before="200" w:after="60"/>
      </w:pPr>
      <w:r>
        <w:rPr>
          <w:rFonts w:ascii="Arial" w:cs="Arial" w:eastAsia="Arial" w:hAnsi="Arial"/>
          <w:b/>
          <w:bCs/>
          <w:caps/>
          <w:color w:val="00A4EF"/>
          <w:spacing w:val="60"/>
          <w:sz w:val="18"/>
          <w:szCs w:val="18"/>
        </w:rPr>
        <w:t xml:space="preserve">PATH A — ARM Cortex-X4 + Mali-G720 + CMN-700</w:t>
      </w:r>
    </w:p>
    <w:p>
      <w:pPr>
        <w:spacing w:before="200" w:after="80"/>
      </w:pPr>
      <w:r>
        <w:rPr>
          <w:rFonts w:ascii="Arial" w:cs="Arial" w:eastAsia="Arial" w:hAnsi="Arial"/>
          <w:b/>
          <w:bCs/>
          <w:color w:val="00A4EF"/>
          <w:sz w:val="24"/>
          <w:szCs w:val="24"/>
        </w:rPr>
        <w:t xml:space="preserve">Big-Core Reasoning + Parallel Matrix GPU + Coherent Mesh</w:t>
      </w:r>
    </w:p>
    <w:p>
      <w:pPr>
        <w:spacing w:before="60" w:after="60"/>
      </w:pPr>
      <w:r>
        <w:rPr>
          <w:rFonts w:ascii="Arial" w:cs="Arial" w:eastAsia="Arial" w:hAnsi="Arial"/>
          <w:sz w:val="22"/>
          <w:szCs w:val="22"/>
        </w:rPr>
        <w:t xml:space="preserve">The Cortex-X4 + Mali-G720 combination on a CMN-700 interconnect mesh provides the peak single-thread reasoning performance and parallel matrix capability needed for AAI's normative reasoning and multi-agent intent consolidation workloads. CMN-700 scales to the AAI node's multi-PAI ingress bandwidth across all D12 N-faces.</w:t>
      </w:r>
    </w:p>
    <w:p>
      <w:pPr>
        <w:pStyle w:val="ListParagraph"/>
        <w:numPr>
          <w:ilvl w:val="0"/>
          <w:numId w:val="2"/>
        </w:numPr>
        <w:spacing w:before="40" w:after="40"/>
      </w:pPr>
      <w:r>
        <w:rPr>
          <w:rFonts w:ascii="Arial" w:cs="Arial" w:eastAsia="Arial" w:hAnsi="Arial"/>
          <w:sz w:val="22"/>
          <w:szCs w:val="22"/>
        </w:rPr>
        <w:t xml:space="preserve">Cortex-X4 big-core: complex normative reasoning — social/ethical/legal validation logic</w:t>
      </w:r>
    </w:p>
    <w:p>
      <w:pPr>
        <w:pStyle w:val="ListParagraph"/>
        <w:numPr>
          <w:ilvl w:val="0"/>
          <w:numId w:val="2"/>
        </w:numPr>
        <w:spacing w:before="40" w:after="40"/>
      </w:pPr>
      <w:r>
        <w:rPr>
          <w:rFonts w:ascii="Arial" w:cs="Arial" w:eastAsia="Arial" w:hAnsi="Arial"/>
          <w:sz w:val="22"/>
          <w:szCs w:val="22"/>
        </w:rPr>
        <w:t xml:space="preserve">Mali-G720: parallel matrix operations for multi-agent intent consolidation</w:t>
      </w:r>
    </w:p>
    <w:p>
      <w:pPr>
        <w:pStyle w:val="ListParagraph"/>
        <w:numPr>
          <w:ilvl w:val="0"/>
          <w:numId w:val="2"/>
        </w:numPr>
        <w:spacing w:before="40" w:after="40"/>
      </w:pPr>
      <w:r>
        <w:rPr>
          <w:rFonts w:ascii="Arial" w:cs="Arial" w:eastAsia="Arial" w:hAnsi="Arial"/>
          <w:sz w:val="22"/>
          <w:szCs w:val="22"/>
        </w:rPr>
        <w:t xml:space="preserve">CMN-700: coherent mesh — scales to N-face multi-PAI ingress bandwidth</w:t>
      </w:r>
    </w:p>
    <w:p>
      <w:pPr>
        <w:pStyle w:val="ListParagraph"/>
        <w:numPr>
          <w:ilvl w:val="0"/>
          <w:numId w:val="2"/>
        </w:numPr>
        <w:spacing w:before="40" w:after="40"/>
      </w:pPr>
      <w:r>
        <w:rPr>
          <w:rFonts w:ascii="Arial" w:cs="Arial" w:eastAsia="Arial" w:hAnsi="Arial"/>
          <w:sz w:val="22"/>
          <w:szCs w:val="22"/>
        </w:rPr>
        <w:t xml:space="preserve">TrustZone: governance boundary enforcement between AAI jurisdiction domains</w:t>
      </w:r>
    </w:p>
    <w:p>
      <w:pPr>
        <w:pStyle w:val="ListParagraph"/>
        <w:numPr>
          <w:ilvl w:val="0"/>
          <w:numId w:val="2"/>
        </w:numPr>
        <w:spacing w:before="40" w:after="40"/>
      </w:pPr>
      <w:r>
        <w:rPr>
          <w:rFonts w:ascii="Arial" w:cs="Arial" w:eastAsia="Arial" w:hAnsi="Arial"/>
          <w:sz w:val="22"/>
          <w:szCs w:val="22"/>
        </w:rPr>
        <w:t xml:space="preserve">Custom SoC path: manufacturable by Samsung System LSI with ARM IP license</w:t>
      </w:r>
    </w:p>
    <w:p>
      <w:r>
        <w:t xml:space="preserve"/>
      </w:r>
    </w:p>
    <w:p>
      <w:pPr>
        <w:spacing w:before="200" w:after="60"/>
      </w:pPr>
      <w:r>
        <w:rPr>
          <w:rFonts w:ascii="Arial" w:cs="Arial" w:eastAsia="Arial" w:hAnsi="Arial"/>
          <w:b/>
          <w:bCs/>
          <w:caps/>
          <w:color w:val="76B900"/>
          <w:spacing w:val="60"/>
          <w:sz w:val="18"/>
          <w:szCs w:val="18"/>
        </w:rPr>
        <w:t xml:space="preserve">PATH B — NVIDIA Grace-Hopper GH200</w:t>
      </w:r>
    </w:p>
    <w:p>
      <w:pPr>
        <w:spacing w:before="200" w:after="80"/>
      </w:pPr>
      <w:r>
        <w:rPr>
          <w:rFonts w:ascii="Arial" w:cs="Arial" w:eastAsia="Arial" w:hAnsi="Arial"/>
          <w:b/>
          <w:bCs/>
          <w:color w:val="76B900"/>
          <w:sz w:val="24"/>
          <w:szCs w:val="24"/>
        </w:rPr>
        <w:t xml:space="preserve">Neoverse V2 CPU + Hopper GPU + NVLink-C2C 900GB/s</w:t>
      </w:r>
    </w:p>
    <w:p>
      <w:pPr>
        <w:spacing w:before="60" w:after="60"/>
      </w:pPr>
      <w:r>
        <w:rPr>
          <w:rFonts w:ascii="Arial" w:cs="Arial" w:eastAsia="Arial" w:hAnsi="Arial"/>
          <w:sz w:val="22"/>
          <w:szCs w:val="22"/>
        </w:rPr>
        <w:t xml:space="preserve">The Grace-Hopper Superchip combines ARM Neoverse V2 with an H200 Hopper GPU via NVLink-C2C at 900GB/s bidirectional bandwidth — eliminating the PCIe bottleneck for multi-agent workloads. The Transformer Engine handles multi-PAI intent consolidation, while Confidential Computing enforces hardware-level AAI governance jurisdiction isolation.</w:t>
      </w:r>
    </w:p>
    <w:p>
      <w:pPr>
        <w:pStyle w:val="ListParagraph"/>
        <w:numPr>
          <w:ilvl w:val="0"/>
          <w:numId w:val="2"/>
        </w:numPr>
        <w:spacing w:before="40" w:after="40"/>
      </w:pPr>
      <w:r>
        <w:rPr>
          <w:rFonts w:ascii="Arial" w:cs="Arial" w:eastAsia="Arial" w:hAnsi="Arial"/>
          <w:sz w:val="22"/>
          <w:szCs w:val="22"/>
        </w:rPr>
        <w:t xml:space="preserve">Grace CPU (Neoverse V2): deterministic normative reasoning logic</w:t>
      </w:r>
    </w:p>
    <w:p>
      <w:pPr>
        <w:pStyle w:val="ListParagraph"/>
        <w:numPr>
          <w:ilvl w:val="0"/>
          <w:numId w:val="2"/>
        </w:numPr>
        <w:spacing w:before="40" w:after="40"/>
      </w:pPr>
      <w:r>
        <w:rPr>
          <w:rFonts w:ascii="Arial" w:cs="Arial" w:eastAsia="Arial" w:hAnsi="Arial"/>
          <w:sz w:val="22"/>
          <w:szCs w:val="22"/>
        </w:rPr>
        <w:t xml:space="preserve">H200 Hopper Transformer Engine: multi-agent intent consolidation at scale</w:t>
      </w:r>
    </w:p>
    <w:p>
      <w:pPr>
        <w:pStyle w:val="ListParagraph"/>
        <w:numPr>
          <w:ilvl w:val="0"/>
          <w:numId w:val="2"/>
        </w:numPr>
        <w:spacing w:before="40" w:after="40"/>
      </w:pPr>
      <w:r>
        <w:rPr>
          <w:rFonts w:ascii="Arial" w:cs="Arial" w:eastAsia="Arial" w:hAnsi="Arial"/>
          <w:sz w:val="22"/>
          <w:szCs w:val="22"/>
        </w:rPr>
        <w:t xml:space="preserve">NVLink-C2C 900GB/s: eliminates CPU↔GPU memory bandwidth bottleneck</w:t>
      </w:r>
    </w:p>
    <w:p>
      <w:pPr>
        <w:pStyle w:val="ListParagraph"/>
        <w:numPr>
          <w:ilvl w:val="0"/>
          <w:numId w:val="2"/>
        </w:numPr>
        <w:spacing w:before="40" w:after="40"/>
      </w:pPr>
      <w:r>
        <w:rPr>
          <w:rFonts w:ascii="Arial" w:cs="Arial" w:eastAsia="Arial" w:hAnsi="Arial"/>
          <w:sz w:val="22"/>
          <w:szCs w:val="22"/>
        </w:rPr>
        <w:t xml:space="preserve">141GB HBM3e: sufficient for full regional PAI intent context storage</w:t>
      </w:r>
    </w:p>
    <w:p>
      <w:pPr>
        <w:pStyle w:val="ListParagraph"/>
        <w:numPr>
          <w:ilvl w:val="0"/>
          <w:numId w:val="2"/>
        </w:numPr>
        <w:spacing w:before="40" w:after="40"/>
      </w:pPr>
      <w:r>
        <w:rPr>
          <w:rFonts w:ascii="Arial" w:cs="Arial" w:eastAsia="Arial" w:hAnsi="Arial"/>
          <w:sz w:val="22"/>
          <w:szCs w:val="22"/>
        </w:rPr>
        <w:t xml:space="preserve">Hopper Confidential Computing: hardware-enforced AAI jurisdiction isolation</w:t>
      </w:r>
    </w:p>
    <w:p>
      <w:pPr>
        <w:pStyle w:val="ListParagraph"/>
        <w:numPr>
          <w:ilvl w:val="0"/>
          <w:numId w:val="2"/>
        </w:numPr>
        <w:spacing w:before="40" w:after="40"/>
      </w:pPr>
      <w:r>
        <w:rPr>
          <w:rFonts w:ascii="Arial" w:cs="Arial" w:eastAsia="Arial" w:hAnsi="Arial"/>
          <w:sz w:val="22"/>
          <w:szCs w:val="22"/>
        </w:rPr>
        <w:t xml:space="preserve">MIG: partitioned GPU resources for independent parallel PAI intent streams</w:t>
      </w:r>
    </w:p>
    <w:p>
      <w:r>
        <w:t xml:space="preserve"/>
      </w:r>
    </w:p>
    <w:p>
      <w:pPr>
        <w:spacing w:before="200" w:after="60"/>
      </w:pPr>
      <w:r>
        <w:rPr>
          <w:rFonts w:ascii="Arial" w:cs="Arial" w:eastAsia="Arial" w:hAnsi="Arial"/>
          <w:b/>
          <w:bCs/>
          <w:caps/>
          <w:color w:val="0068B5"/>
          <w:spacing w:val="60"/>
          <w:sz w:val="18"/>
          <w:szCs w:val="18"/>
        </w:rPr>
        <w:t xml:space="preserve">PATH C — Intel Xeon + Gaudi 3</w:t>
      </w:r>
    </w:p>
    <w:p>
      <w:pPr>
        <w:spacing w:before="200" w:after="80"/>
      </w:pPr>
      <w:r>
        <w:rPr>
          <w:rFonts w:ascii="Arial" w:cs="Arial" w:eastAsia="Arial" w:hAnsi="Arial"/>
          <w:b/>
          <w:bCs/>
          <w:color w:val="0068B5"/>
          <w:sz w:val="24"/>
          <w:szCs w:val="24"/>
        </w:rPr>
        <w:t xml:space="preserve">Enterprise CPU + Open Ethernet AI Fabric + SGX Enclaves</w:t>
      </w:r>
    </w:p>
    <w:p>
      <w:pPr>
        <w:spacing w:before="60" w:after="60"/>
      </w:pPr>
      <w:r>
        <w:rPr>
          <w:rFonts w:ascii="Arial" w:cs="Arial" w:eastAsia="Arial" w:hAnsi="Arial"/>
          <w:sz w:val="22"/>
          <w:szCs w:val="22"/>
        </w:rPr>
        <w:t xml:space="preserve">Intel's Xeon + Gaudi 3 provides AAI-scale compute with a key differentiator: Gaudi 3 uses standard Ethernet for inter-accelerator communication rather than proprietary NVLink. This open fabric is strategically relevant for multi-jurisdiction AAI deployments where no single governance domain should control the interconnect fabric. Intel SGX provides hardware enclave isolation for AAI governance boundaries.</w:t>
      </w:r>
    </w:p>
    <w:p>
      <w:pPr>
        <w:pStyle w:val="ListParagraph"/>
        <w:numPr>
          <w:ilvl w:val="0"/>
          <w:numId w:val="2"/>
        </w:numPr>
        <w:spacing w:before="40" w:after="40"/>
      </w:pPr>
      <w:r>
        <w:rPr>
          <w:rFonts w:ascii="Arial" w:cs="Arial" w:eastAsia="Arial" w:hAnsi="Arial"/>
          <w:sz w:val="22"/>
          <w:szCs w:val="22"/>
        </w:rPr>
        <w:t xml:space="preserve">Intel Xeon: enterprise-grade CPU for deterministic normative reasoning</w:t>
      </w:r>
    </w:p>
    <w:p>
      <w:pPr>
        <w:pStyle w:val="ListParagraph"/>
        <w:numPr>
          <w:ilvl w:val="0"/>
          <w:numId w:val="2"/>
        </w:numPr>
        <w:spacing w:before="40" w:after="40"/>
      </w:pPr>
      <w:r>
        <w:rPr>
          <w:rFonts w:ascii="Arial" w:cs="Arial" w:eastAsia="Arial" w:hAnsi="Arial"/>
          <w:sz w:val="22"/>
          <w:szCs w:val="22"/>
        </w:rPr>
        <w:t xml:space="preserve">Gaudi 3: 128GB HBM2e, optimized for LLM inference — AAI intent consolidation</w:t>
      </w:r>
    </w:p>
    <w:p>
      <w:pPr>
        <w:pStyle w:val="ListParagraph"/>
        <w:numPr>
          <w:ilvl w:val="0"/>
          <w:numId w:val="2"/>
        </w:numPr>
        <w:spacing w:before="40" w:after="40"/>
      </w:pPr>
      <w:r>
        <w:rPr>
          <w:rFonts w:ascii="Arial" w:cs="Arial" w:eastAsia="Arial" w:hAnsi="Arial"/>
          <w:sz w:val="22"/>
          <w:szCs w:val="22"/>
        </w:rPr>
        <w:t xml:space="preserve">Open Ethernet fabric: no proprietary lock-in — strategically relevant for AAI governance</w:t>
      </w:r>
    </w:p>
    <w:p>
      <w:pPr>
        <w:pStyle w:val="ListParagraph"/>
        <w:numPr>
          <w:ilvl w:val="0"/>
          <w:numId w:val="2"/>
        </w:numPr>
        <w:spacing w:before="40" w:after="40"/>
      </w:pPr>
      <w:r>
        <w:rPr>
          <w:rFonts w:ascii="Arial" w:cs="Arial" w:eastAsia="Arial" w:hAnsi="Arial"/>
          <w:sz w:val="22"/>
          <w:szCs w:val="22"/>
        </w:rPr>
        <w:t xml:space="preserve">Intel SGX: hardware enclave isolation for jurisdiction-level AAI governance boundaries</w:t>
      </w:r>
    </w:p>
    <w:p>
      <w:pPr>
        <w:pStyle w:val="ListParagraph"/>
        <w:numPr>
          <w:ilvl w:val="0"/>
          <w:numId w:val="2"/>
        </w:numPr>
        <w:spacing w:before="40" w:after="40"/>
      </w:pPr>
      <w:r>
        <w:rPr>
          <w:rFonts w:ascii="Arial" w:cs="Arial" w:eastAsia="Arial" w:hAnsi="Arial"/>
          <w:sz w:val="22"/>
          <w:szCs w:val="22"/>
        </w:rPr>
        <w:t xml:space="preserve">Intel AMX: CPU-side matrix operations for Structured Intent Packet formation</w:t>
      </w:r>
    </w:p>
    <w:p>
      <w:r>
        <w:t xml:space="preserve"/>
      </w:r>
    </w:p>
    <w:p>
      <w:pPr>
        <w:pStyle w:val="Heading2"/>
        <w:spacing w:before="320" w:after="120"/>
      </w:pPr>
      <w:r>
        <w:rPr>
          <w:rFonts w:ascii="Arial" w:cs="Arial" w:eastAsia="Arial" w:hAnsi="Arial"/>
          <w:b/>
          <w:bCs/>
          <w:color w:val="1A3A6B"/>
          <w:sz w:val="28"/>
          <w:szCs w:val="28"/>
        </w:rPr>
        <w:t xml:space="preserve">5.1  AAI Node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50"/>
        <w:gridCol w:w="24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Criterion</w:t>
            </w:r>
          </w:p>
        </w:tc>
        <w:tc>
          <w:tcPr>
            <w:tcW w:type="dxa" w:w="245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Cortex-X4 + Mali</w:t>
            </w:r>
          </w:p>
        </w:tc>
        <w:tc>
          <w:tcPr>
            <w:tcW w:type="dxa" w:w="245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GH200</w:t>
            </w:r>
          </w:p>
        </w:tc>
        <w:tc>
          <w:tcPr>
            <w:tcW w:type="dxa" w:w="246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Xeon + Gaudi 3</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Reasoning performance</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(Cortex-X4 big-core)</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(Neoverse V2 + HBM3e)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(Xeon enterprise)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Multi-agent parallelism</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Mali-G720 GPU</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Hopper Transformer Engine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Gaudi 3 HBM2e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CPU↔GPU bandwidth</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CMN-700 coherent mesh</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NVLink-C2C 900GB/s</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PCIe 5.0</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Governance isolation</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TrustZone (hardware)</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Confidential Computing</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SGX enclaves (hardware)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Interconnect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Proprietary CMN</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Proprietary NVLink</w:t>
            </w:r>
          </w:p>
        </w:tc>
        <w:tc>
          <w:tcPr>
            <w:tcW w:type="dxa" w:w="24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Open Ethernet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Availability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SoC required</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 today</w:t>
            </w:r>
          </w:p>
        </w:tc>
        <w:tc>
          <w:tcPr>
            <w:tcW w:type="dxa" w:w="24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 today</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6 — AsAI Node (I20): Infrastructure-Scale Wisdom Execution</w:t>
      </w:r>
    </w:p>
    <w:p>
      <w:pPr>
        <w:spacing w:before="60" w:after="60"/>
      </w:pPr>
      <w:r>
        <w:rPr>
          <w:rFonts w:ascii="Arial" w:cs="Arial" w:eastAsia="Arial" w:hAnsi="Arial"/>
          <w:sz w:val="22"/>
          <w:szCs w:val="22"/>
        </w:rPr>
        <w:t xml:space="preserve">AsAI is the highest layer of the Velsanet AI architecture, operating at I20 (Icosahedron) nodes at national and global scale. It executes wisdom-layer reasoning across aggregated AAI-validated intent patterns. No individual access path exists — AsAI receives only AAI-authorized requests. Structurally, this impossibility is enforced by architecture, not policy. AsAI requires the highest compute density and memory bandwidth available.</w:t>
      </w:r>
    </w:p>
    <w:p>
      <w:r>
        <w:t xml:space="preserve"/>
      </w:r>
    </w:p>
    <w:p>
      <w:pPr>
        <w:spacing w:before="200" w:after="60"/>
      </w:pPr>
      <w:r>
        <w:rPr>
          <w:rFonts w:ascii="Arial" w:cs="Arial" w:eastAsia="Arial" w:hAnsi="Arial"/>
          <w:b/>
          <w:bCs/>
          <w:caps/>
          <w:color w:val="00A4EF"/>
          <w:spacing w:val="60"/>
          <w:sz w:val="18"/>
          <w:szCs w:val="18"/>
        </w:rPr>
        <w:t xml:space="preserve">PATH A — ARM Neoverse V2</w:t>
      </w:r>
    </w:p>
    <w:p>
      <w:pPr>
        <w:spacing w:before="200" w:after="80"/>
      </w:pPr>
      <w:r>
        <w:rPr>
          <w:rFonts w:ascii="Arial" w:cs="Arial" w:eastAsia="Arial" w:hAnsi="Arial"/>
          <w:b/>
          <w:bCs/>
          <w:color w:val="00A4EF"/>
          <w:sz w:val="24"/>
          <w:szCs w:val="24"/>
        </w:rPr>
        <w:t xml:space="preserve">Server-Class SVE2 + High Core Count + RAS</w:t>
      </w:r>
    </w:p>
    <w:p>
      <w:pPr>
        <w:spacing w:before="60" w:after="60"/>
      </w:pPr>
      <w:r>
        <w:rPr>
          <w:rFonts w:ascii="Arial" w:cs="Arial" w:eastAsia="Arial" w:hAnsi="Arial"/>
          <w:sz w:val="22"/>
          <w:szCs w:val="22"/>
        </w:rPr>
        <w:t xml:space="preserve">The Neoverse V2 is ARM's highest-performance server processor, used in cloud infrastructure deployments (AWS Graviton4, Google Axion). Its SVE2 vector engine provides the large-scale vector inference capability needed for DIKWEI wisdom-layer reasoning. RAS (Reliability, Availability, Serviceability) features ensure continuous operation for infrastructure-level AI.</w:t>
      </w:r>
    </w:p>
    <w:p>
      <w:pPr>
        <w:pStyle w:val="ListParagraph"/>
        <w:numPr>
          <w:ilvl w:val="0"/>
          <w:numId w:val="2"/>
        </w:numPr>
        <w:spacing w:before="40" w:after="40"/>
      </w:pPr>
      <w:r>
        <w:rPr>
          <w:rFonts w:ascii="Arial" w:cs="Arial" w:eastAsia="Arial" w:hAnsi="Arial"/>
          <w:sz w:val="22"/>
          <w:szCs w:val="22"/>
        </w:rPr>
        <w:t xml:space="preserve">SVE2: large-scale DIKWEI wisdom-layer inference — scalable vector architecture</w:t>
      </w:r>
    </w:p>
    <w:p>
      <w:pPr>
        <w:pStyle w:val="ListParagraph"/>
        <w:numPr>
          <w:ilvl w:val="0"/>
          <w:numId w:val="2"/>
        </w:numPr>
        <w:spacing w:before="40" w:after="40"/>
      </w:pPr>
      <w:r>
        <w:rPr>
          <w:rFonts w:ascii="Arial" w:cs="Arial" w:eastAsia="Arial" w:hAnsi="Arial"/>
          <w:sz w:val="22"/>
          <w:szCs w:val="22"/>
        </w:rPr>
        <w:t xml:space="preserve">High core count: parallel processing of multi-AAI input streams</w:t>
      </w:r>
    </w:p>
    <w:p>
      <w:pPr>
        <w:pStyle w:val="ListParagraph"/>
        <w:numPr>
          <w:ilvl w:val="0"/>
          <w:numId w:val="2"/>
        </w:numPr>
        <w:spacing w:before="40" w:after="40"/>
      </w:pPr>
      <w:r>
        <w:rPr>
          <w:rFonts w:ascii="Arial" w:cs="Arial" w:eastAsia="Arial" w:hAnsi="Arial"/>
          <w:sz w:val="22"/>
          <w:szCs w:val="22"/>
        </w:rPr>
        <w:t xml:space="preserve">CCIX/PCIe 5.0: high-bandwidth interface to Samsung HBM3E memory subsystem</w:t>
      </w:r>
    </w:p>
    <w:p>
      <w:pPr>
        <w:pStyle w:val="ListParagraph"/>
        <w:numPr>
          <w:ilvl w:val="0"/>
          <w:numId w:val="2"/>
        </w:numPr>
        <w:spacing w:before="40" w:after="40"/>
      </w:pPr>
      <w:r>
        <w:rPr>
          <w:rFonts w:ascii="Arial" w:cs="Arial" w:eastAsia="Arial" w:hAnsi="Arial"/>
          <w:sz w:val="22"/>
          <w:szCs w:val="22"/>
        </w:rPr>
        <w:t xml:space="preserve">RAS features: continuous operation — infrastructure AI cannot have planned downtime</w:t>
      </w:r>
    </w:p>
    <w:p>
      <w:pPr>
        <w:pStyle w:val="ListParagraph"/>
        <w:numPr>
          <w:ilvl w:val="0"/>
          <w:numId w:val="2"/>
        </w:numPr>
        <w:spacing w:before="40" w:after="40"/>
      </w:pPr>
      <w:r>
        <w:rPr>
          <w:rFonts w:ascii="Arial" w:cs="Arial" w:eastAsia="Arial" w:hAnsi="Arial"/>
          <w:sz w:val="22"/>
          <w:szCs w:val="22"/>
        </w:rPr>
        <w:t xml:space="preserve">Custom SoC path: implementable by Samsung System LSI with Neoverse V2 license</w:t>
      </w:r>
    </w:p>
    <w:p>
      <w:r>
        <w:t xml:space="preserve"/>
      </w:r>
    </w:p>
    <w:p>
      <w:pPr>
        <w:spacing w:before="200" w:after="60"/>
      </w:pPr>
      <w:r>
        <w:rPr>
          <w:rFonts w:ascii="Arial" w:cs="Arial" w:eastAsia="Arial" w:hAnsi="Arial"/>
          <w:b/>
          <w:bCs/>
          <w:caps/>
          <w:color w:val="76B900"/>
          <w:spacing w:val="60"/>
          <w:sz w:val="18"/>
          <w:szCs w:val="18"/>
        </w:rPr>
        <w:t xml:space="preserve">PATH B — NVIDIA Blackwell GB200 NVL72</w:t>
      </w:r>
    </w:p>
    <w:p>
      <w:pPr>
        <w:spacing w:before="200" w:after="80"/>
      </w:pPr>
      <w:r>
        <w:rPr>
          <w:rFonts w:ascii="Arial" w:cs="Arial" w:eastAsia="Arial" w:hAnsi="Arial"/>
          <w:b/>
          <w:bCs/>
          <w:color w:val="76B900"/>
          <w:sz w:val="24"/>
          <w:szCs w:val="24"/>
        </w:rPr>
        <w:t xml:space="preserve">72 Blackwell GPUs + NVSwitch 1.8TB/s All-to-All + CoWoS-L</w:t>
      </w:r>
    </w:p>
    <w:p>
      <w:pPr>
        <w:spacing w:before="60" w:after="60"/>
      </w:pPr>
      <w:r>
        <w:rPr>
          <w:rFonts w:ascii="Arial" w:cs="Arial" w:eastAsia="Arial" w:hAnsi="Arial"/>
          <w:sz w:val="22"/>
          <w:szCs w:val="22"/>
        </w:rPr>
        <w:t xml:space="preserve">The Blackwell GB200 NVL72 is a rack-scale AI supercomputer: 72 Blackwell GPUs connected via NVSwitch at 1.8TB/s all-to-all bandwidth. This is the closest existing hardware implementation of Velsanet's parallel E2E connectivity principle at the compute layer. NVSwitch's non-blocking, deterministic, fixed-topology fabric mirrors the MOCT's parallel optical core architecture — the same design principle at different scale.</w:t>
      </w:r>
    </w:p>
    <w:p>
      <w:pPr>
        <w:pStyle w:val="ListParagraph"/>
        <w:numPr>
          <w:ilvl w:val="0"/>
          <w:numId w:val="2"/>
        </w:numPr>
        <w:spacing w:before="40" w:after="40"/>
      </w:pPr>
      <w:r>
        <w:rPr>
          <w:rFonts w:ascii="Arial" w:cs="Arial" w:eastAsia="Arial" w:hAnsi="Arial"/>
          <w:sz w:val="22"/>
          <w:szCs w:val="22"/>
        </w:rPr>
        <w:t xml:space="preserve">NVSwitch all-to-all 1.8TB/s: non-blocking, deterministic — structural analogue of MOCT parallel E2E</w:t>
      </w:r>
    </w:p>
    <w:p>
      <w:pPr>
        <w:pStyle w:val="ListParagraph"/>
        <w:numPr>
          <w:ilvl w:val="0"/>
          <w:numId w:val="2"/>
        </w:numPr>
        <w:spacing w:before="40" w:after="40"/>
      </w:pPr>
      <w:r>
        <w:rPr>
          <w:rFonts w:ascii="Arial" w:cs="Arial" w:eastAsia="Arial" w:hAnsi="Arial"/>
          <w:sz w:val="22"/>
          <w:szCs w:val="22"/>
        </w:rPr>
        <w:t xml:space="preserve">Blackwell Transformer Engine FP4: 30× inference throughput vs. previous generation</w:t>
      </w:r>
    </w:p>
    <w:p>
      <w:pPr>
        <w:pStyle w:val="ListParagraph"/>
        <w:numPr>
          <w:ilvl w:val="0"/>
          <w:numId w:val="2"/>
        </w:numPr>
        <w:spacing w:before="40" w:after="40"/>
      </w:pPr>
      <w:r>
        <w:rPr>
          <w:rFonts w:ascii="Arial" w:cs="Arial" w:eastAsia="Arial" w:hAnsi="Arial"/>
          <w:sz w:val="22"/>
          <w:szCs w:val="22"/>
        </w:rPr>
        <w:t xml:space="preserve">NVIDIA Magnum IO: AsAI collective validation memory — accumulated AAI-validated patterns</w:t>
      </w:r>
    </w:p>
    <w:p>
      <w:pPr>
        <w:pStyle w:val="ListParagraph"/>
        <w:numPr>
          <w:ilvl w:val="0"/>
          <w:numId w:val="2"/>
        </w:numPr>
        <w:spacing w:before="40" w:after="40"/>
      </w:pPr>
      <w:r>
        <w:rPr>
          <w:rFonts w:ascii="Arial" w:cs="Arial" w:eastAsia="Arial" w:hAnsi="Arial"/>
          <w:sz w:val="22"/>
          <w:szCs w:val="22"/>
        </w:rPr>
        <w:t xml:space="preserve">Hardware RAS: continuous operation for national/global AsAI infrastructure</w:t>
      </w:r>
    </w:p>
    <w:p>
      <w:pPr>
        <w:pStyle w:val="ListParagraph"/>
        <w:numPr>
          <w:ilvl w:val="0"/>
          <w:numId w:val="2"/>
        </w:numPr>
        <w:spacing w:before="40" w:after="40"/>
      </w:pPr>
      <w:r>
        <w:rPr>
          <w:rFonts w:ascii="Arial" w:cs="Arial" w:eastAsia="Arial" w:hAnsi="Arial"/>
          <w:sz w:val="22"/>
          <w:szCs w:val="22"/>
        </w:rPr>
        <w:t xml:space="preserve">TSMC CoWoS-L: compute + HBM3e co-integrated — same packaging path as MOCT integration</w:t>
      </w:r>
    </w:p>
    <w:p>
      <w:r>
        <w:t xml:space="preserve"/>
      </w:r>
    </w:p>
    <w:p>
      <w:pPr>
        <w:spacing w:before="200" w:after="60"/>
      </w:pPr>
      <w:r>
        <w:rPr>
          <w:rFonts w:ascii="Arial" w:cs="Arial" w:eastAsia="Arial" w:hAnsi="Arial"/>
          <w:b/>
          <w:bCs/>
          <w:caps/>
          <w:color w:val="0068B5"/>
          <w:spacing w:val="60"/>
          <w:sz w:val="18"/>
          <w:szCs w:val="18"/>
        </w:rPr>
        <w:t xml:space="preserve">PATH C — Broadcom XPU Custom AI ASIC</w:t>
      </w:r>
    </w:p>
    <w:p>
      <w:pPr>
        <w:spacing w:before="200" w:after="80"/>
      </w:pPr>
      <w:r>
        <w:rPr>
          <w:rFonts w:ascii="Arial" w:cs="Arial" w:eastAsia="Arial" w:hAnsi="Arial"/>
          <w:b/>
          <w:bCs/>
          <w:color w:val="0068B5"/>
          <w:sz w:val="24"/>
          <w:szCs w:val="24"/>
        </w:rPr>
        <w:t xml:space="preserve">Purpose-Built AI ASIC + HBM3 + Custom Scale-Out Fabric</w:t>
      </w:r>
    </w:p>
    <w:p>
      <w:pPr>
        <w:spacing w:before="60" w:after="60"/>
      </w:pPr>
      <w:r>
        <w:rPr>
          <w:rFonts w:ascii="Arial" w:cs="Arial" w:eastAsia="Arial" w:hAnsi="Arial"/>
          <w:sz w:val="22"/>
          <w:szCs w:val="22"/>
        </w:rPr>
        <w:t xml:space="preserve">Broadcom's Custom Silicon Solutions division designed Google TPU v4/v5, Meta MTIA, and ByteDance AI accelerators — the hyperscale AI ASIC market. For Velsanet's AsAI, a purpose-built XPU ASIC would be optimized specifically for DIKWEI wisdom-layer inference, with HBM3 memory integration and a custom scale-out fabric for multi-chip I20 node formation. This path requires the longest development timeline but yields the highest optimization.</w:t>
      </w:r>
    </w:p>
    <w:p>
      <w:pPr>
        <w:pStyle w:val="ListParagraph"/>
        <w:numPr>
          <w:ilvl w:val="0"/>
          <w:numId w:val="2"/>
        </w:numPr>
        <w:spacing w:before="40" w:after="40"/>
      </w:pPr>
      <w:r>
        <w:rPr>
          <w:rFonts w:ascii="Arial" w:cs="Arial" w:eastAsia="Arial" w:hAnsi="Arial"/>
          <w:sz w:val="22"/>
          <w:szCs w:val="22"/>
        </w:rPr>
        <w:t xml:space="preserve">Purpose-built ASIC: DIKWEI wisdom-layer inference optimized — not general-purpose</w:t>
      </w:r>
    </w:p>
    <w:p>
      <w:pPr>
        <w:pStyle w:val="ListParagraph"/>
        <w:numPr>
          <w:ilvl w:val="0"/>
          <w:numId w:val="2"/>
        </w:numPr>
        <w:spacing w:before="40" w:after="40"/>
      </w:pPr>
      <w:r>
        <w:rPr>
          <w:rFonts w:ascii="Arial" w:cs="Arial" w:eastAsia="Arial" w:hAnsi="Arial"/>
          <w:sz w:val="22"/>
          <w:szCs w:val="22"/>
        </w:rPr>
        <w:t xml:space="preserve">HBM3 integration: highest available memory bandwidth for multi-AAI aggregation</w:t>
      </w:r>
    </w:p>
    <w:p>
      <w:pPr>
        <w:pStyle w:val="ListParagraph"/>
        <w:numPr>
          <w:ilvl w:val="0"/>
          <w:numId w:val="2"/>
        </w:numPr>
        <w:spacing w:before="40" w:after="40"/>
      </w:pPr>
      <w:r>
        <w:rPr>
          <w:rFonts w:ascii="Arial" w:cs="Arial" w:eastAsia="Arial" w:hAnsi="Arial"/>
          <w:sz w:val="22"/>
          <w:szCs w:val="22"/>
        </w:rPr>
        <w:t xml:space="preserve">Custom scale-out fabric: multi-chip AsAI cluster — full control over topology</w:t>
      </w:r>
    </w:p>
    <w:p>
      <w:pPr>
        <w:pStyle w:val="ListParagraph"/>
        <w:numPr>
          <w:ilvl w:val="0"/>
          <w:numId w:val="2"/>
        </w:numPr>
        <w:spacing w:before="40" w:after="40"/>
      </w:pPr>
      <w:r>
        <w:rPr>
          <w:rFonts w:ascii="Arial" w:cs="Arial" w:eastAsia="Arial" w:hAnsi="Arial"/>
          <w:sz w:val="22"/>
          <w:szCs w:val="22"/>
        </w:rPr>
        <w:t xml:space="preserve">Proven delivery: Google TPU, Meta MTIA at production volume</w:t>
      </w:r>
    </w:p>
    <w:p>
      <w:pPr>
        <w:pStyle w:val="ListParagraph"/>
        <w:numPr>
          <w:ilvl w:val="0"/>
          <w:numId w:val="2"/>
        </w:numPr>
        <w:spacing w:before="40" w:after="40"/>
      </w:pPr>
      <w:r>
        <w:rPr>
          <w:rFonts w:ascii="Arial" w:cs="Arial" w:eastAsia="Arial" w:hAnsi="Arial"/>
          <w:sz w:val="22"/>
          <w:szCs w:val="22"/>
        </w:rPr>
        <w:t xml:space="preserve">Intel Gaudi 3 alternative: near-term deployable AsAI node pending custom ASIC</w:t>
      </w:r>
    </w:p>
    <w:p>
      <w:r>
        <w:t xml:space="preserve"/>
      </w:r>
    </w:p>
    <w:p>
      <w:pPr>
        <w:pStyle w:val="Heading2"/>
        <w:spacing w:before="320" w:after="120"/>
      </w:pPr>
      <w:r>
        <w:rPr>
          <w:rFonts w:ascii="Arial" w:cs="Arial" w:eastAsia="Arial" w:hAnsi="Arial"/>
          <w:b/>
          <w:bCs/>
          <w:color w:val="1A3A6B"/>
          <w:sz w:val="28"/>
          <w:szCs w:val="28"/>
        </w:rPr>
        <w:t xml:space="preserve">6.1  AsAI Node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50"/>
        <w:gridCol w:w="24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Criterion</w:t>
            </w:r>
          </w:p>
        </w:tc>
        <w:tc>
          <w:tcPr>
            <w:tcW w:type="dxa" w:w="245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Neoverse V2</w:t>
            </w:r>
          </w:p>
        </w:tc>
        <w:tc>
          <w:tcPr>
            <w:tcW w:type="dxa" w:w="245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Blackwell GB200</w:t>
            </w:r>
          </w:p>
        </w:tc>
        <w:tc>
          <w:tcPr>
            <w:tcW w:type="dxa" w:w="246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Broadcom XPU ASIC</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Inference throughput</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(SVE2 vector)</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(FP4 Transformer Engine)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when built (custom)</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Memory bandwidth</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HBM3E (via Samsung)</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HBM3e CoWoS-L integrated</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HBM3 integrated (custom)</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Fabric topology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(PCIe / CCIX)</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NVSwitch all-to-all</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 full control</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MOCT topology parallel</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Partial (parallel processing)</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Strongest (NVSwitch = MOCT principle)</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Partial (custom fabric)</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Availability</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SoC (12–18 months)</w:t>
            </w:r>
          </w:p>
        </w:tc>
        <w:tc>
          <w:tcPr>
            <w:tcW w:type="dxa" w:w="245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Production today</w:t>
            </w:r>
          </w:p>
        </w:tc>
        <w:tc>
          <w:tcPr>
            <w:tcW w:type="dxa" w:w="24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ASIC (18–24 months)</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Optimization level</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(Velsanet-specific SoC)</w:t>
            </w:r>
          </w:p>
        </w:tc>
        <w:tc>
          <w:tcPr>
            <w:tcW w:type="dxa" w:w="245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General AI — high</w:t>
            </w:r>
          </w:p>
        </w:tc>
        <w:tc>
          <w:tcPr>
            <w:tcW w:type="dxa" w:w="24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(purpose-built)</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7 — Cross-Platform Comparison</w:t>
      </w:r>
    </w:p>
    <w:p>
      <w:pPr>
        <w:spacing w:before="60" w:after="60"/>
      </w:pPr>
      <w:r>
        <w:rPr>
          <w:rFonts w:ascii="Arial" w:cs="Arial" w:eastAsia="Arial" w:hAnsi="Arial"/>
          <w:sz w:val="22"/>
          <w:szCs w:val="22"/>
        </w:rPr>
        <w:t xml:space="preserve">This chapter consolidates the layer-by-layer comparisons into a single reference view and introduces two cross-cutting analyses: the structural parallel between NVSwitch and MOCT, and the Intel silicon photonics heritage analysis.</w:t>
      </w:r>
    </w:p>
    <w:p>
      <w:r>
        <w:t xml:space="preserve"/>
      </w:r>
    </w:p>
    <w:p>
      <w:pPr>
        <w:pStyle w:val="Heading2"/>
        <w:spacing w:before="320" w:after="120"/>
      </w:pPr>
      <w:r>
        <w:rPr>
          <w:rFonts w:ascii="Arial" w:cs="Arial" w:eastAsia="Arial" w:hAnsi="Arial"/>
          <w:b/>
          <w:bCs/>
          <w:color w:val="1A3A6B"/>
          <w:sz w:val="28"/>
          <w:szCs w:val="28"/>
        </w:rPr>
        <w:t xml:space="preserve">7.1  Master Mapping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580"/>
        <w:gridCol w:w="2580"/>
        <w:gridCol w:w="2600"/>
      </w:tblGrid>
      <w:tr>
        <w:tc>
          <w:tcPr>
            <w:tcW w:type="dxa" w:w="16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Velsanet Layer</w:t>
            </w:r>
          </w:p>
        </w:tc>
        <w:tc>
          <w:tcPr>
            <w:tcW w:type="dxa" w:w="258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 Samsung</w:t>
            </w:r>
          </w:p>
        </w:tc>
        <w:tc>
          <w:tcPr>
            <w:tcW w:type="dxa" w:w="258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 TSMC</w:t>
            </w:r>
          </w:p>
        </w:tc>
        <w:tc>
          <w:tcPr>
            <w:tcW w:type="dxa" w:w="260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 Broadcom</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MOCT / Matrix</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Samsung Foundry SF3/SF4</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TSMC SiPho PDK + N3P + CoWoS-L</w:t>
            </w:r>
          </w:p>
        </w:tc>
        <w:tc>
          <w:tcPr>
            <w:tcW w:type="dxa" w:w="2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Foundry 18A + SiPho PDK</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Dedicated Equipment</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Exynos Custom SoC + PUF</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NVIDIA BlueField-3 DPU + DOCA</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IPU (Mount Evans) + P4</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PAI Node (O8)</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Cortex-M55 + Ethos-U65</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Jetson Orin NX (Dual DLA)</w:t>
            </w:r>
          </w:p>
        </w:tc>
        <w:tc>
          <w:tcPr>
            <w:tcW w:type="dxa" w:w="2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Core Ultra NPU tile</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AAI Node (D12)</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Cortex-X4 + Mali-G720 + CMN-700</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Grace-Hopper GH200</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Xeon + Gaudi 3</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bCs/>
                <w:sz w:val="19"/>
                <w:szCs w:val="19"/>
              </w:rPr>
              <w:t xml:space="preserve">AsAI Node (I20)</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Neoverse V2 + Samsung HBM3E</w:t>
            </w:r>
          </w:p>
        </w:tc>
        <w:tc>
          <w:tcPr>
            <w:tcW w:type="dxa" w:w="258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Blackwell GB200 NVL72</w:t>
            </w:r>
          </w:p>
        </w:tc>
        <w:tc>
          <w:tcPr>
            <w:tcW w:type="dxa" w:w="2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Broadcom XPU ASIC</w:t>
            </w:r>
          </w:p>
        </w:tc>
      </w:tr>
    </w:tbl>
    <w:p>
      <w:r>
        <w:t xml:space="preserve"/>
      </w:r>
    </w:p>
    <w:p>
      <w:pPr>
        <w:pStyle w:val="Heading2"/>
        <w:spacing w:before="320" w:after="120"/>
      </w:pPr>
      <w:r>
        <w:rPr>
          <w:rFonts w:ascii="Arial" w:cs="Arial" w:eastAsia="Arial" w:hAnsi="Arial"/>
          <w:b/>
          <w:bCs/>
          <w:color w:val="1A3A6B"/>
          <w:sz w:val="28"/>
          <w:szCs w:val="28"/>
        </w:rPr>
        <w:t xml:space="preserve">7.2  Platform Character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580"/>
        <w:gridCol w:w="2580"/>
        <w:gridCol w:w="2600"/>
      </w:tblGrid>
      <w:tr>
        <w:tc>
          <w:tcPr>
            <w:tcW w:type="dxa" w:w="16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Dimension</w:t>
            </w:r>
          </w:p>
        </w:tc>
        <w:tc>
          <w:tcPr>
            <w:tcW w:type="dxa" w:w="258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 Samsung</w:t>
            </w:r>
          </w:p>
        </w:tc>
        <w:tc>
          <w:tcPr>
            <w:tcW w:type="dxa" w:w="258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 TSMC</w:t>
            </w:r>
          </w:p>
        </w:tc>
        <w:tc>
          <w:tcPr>
            <w:tcW w:type="dxa" w:w="260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 Broadcom</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Path type</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IP licensing + foundry</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System platform + foundry</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Network infra-native</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MOCT strength</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Korean vertical integration</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CPO production scale</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Deepest SiPho heritage</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Prototype speed</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Slower (custom SoC required)</w:t>
            </w:r>
          </w:p>
        </w:tc>
        <w:tc>
          <w:tcPr>
            <w:tcW w:type="dxa" w:w="25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Fastest (all available today)</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Fast (IPU + Core Ultra today)</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Power efficiency</w:t>
            </w:r>
          </w:p>
        </w:tc>
        <w:tc>
          <w:tcPr>
            <w:tcW w:type="dxa" w:w="25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Best (Cortex-M55 PAI)</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Highest performance</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Balanced</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Topology parallel</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 direct analogue</w:t>
            </w:r>
          </w:p>
        </w:tc>
        <w:tc>
          <w:tcPr>
            <w:tcW w:type="dxa" w:w="25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NVSwitch ≈ MOCT principle</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CPO ≈ MOCT principle</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Governance fit</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TrustZone + PUF</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Confidential Computing</w:t>
            </w:r>
          </w:p>
        </w:tc>
        <w:tc>
          <w:tcPr>
            <w:tcW w:type="dxa" w:w="260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SGX enclaves + TDX</w:t>
            </w:r>
          </w:p>
        </w:tc>
      </w:tr>
      <w:tr>
        <w:tc>
          <w:tcPr>
            <w:tcW w:type="dxa" w:w="16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Strategic context</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Korean domestic leadership</w:t>
            </w:r>
          </w:p>
        </w:tc>
        <w:tc>
          <w:tcPr>
            <w:tcW w:type="dxa" w:w="2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AI infra standard platform</w:t>
            </w:r>
          </w:p>
        </w:tc>
        <w:tc>
          <w:tcPr>
            <w:tcW w:type="dxa" w:w="26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Network infra incumbent</w:t>
            </w:r>
          </w:p>
        </w:tc>
      </w:tr>
    </w:tbl>
    <w:p>
      <w:r>
        <w:t xml:space="preserve"/>
      </w:r>
    </w:p>
    <w:p>
      <w:pPr>
        <w:pStyle w:val="Heading2"/>
        <w:spacing w:before="320" w:after="120"/>
      </w:pPr>
      <w:r>
        <w:rPr>
          <w:rFonts w:ascii="Arial" w:cs="Arial" w:eastAsia="Arial" w:hAnsi="Arial"/>
          <w:b/>
          <w:bCs/>
          <w:color w:val="1A3A6B"/>
          <w:sz w:val="28"/>
          <w:szCs w:val="28"/>
        </w:rPr>
        <w:t xml:space="preserve">7.3  The NVSwitch ↔ MOCT Structural Parallel</w:t>
      </w:r>
    </w:p>
    <w:p>
      <w:pPr>
        <w:spacing w:before="60" w:after="60"/>
      </w:pPr>
      <w:r>
        <w:rPr>
          <w:rFonts w:ascii="Arial" w:cs="Arial" w:eastAsia="Arial" w:hAnsi="Arial"/>
          <w:sz w:val="22"/>
          <w:szCs w:val="22"/>
        </w:rPr>
        <w:t xml:space="preserve">The deepest cross-platform insight in this report is the structural parallel between NVIDIA NVSwitch and Velsanet MOCT. Both implement the same design principle: replace routing and switching with fixed, deterministic, parallel physical connectivity.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Property</w:t>
            </w:r>
          </w:p>
        </w:tc>
        <w:tc>
          <w:tcPr>
            <w:tcW w:type="dxa" w:w="358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NVSwitch / NVLink</w:t>
            </w:r>
          </w:p>
        </w:tc>
        <w:tc>
          <w:tcPr>
            <w:tcW w:type="dxa" w:w="3580"/>
            <w:tcBorders>
              <w:top w:val="single" w:color="CCCCCC" w:sz="4"/>
              <w:left w:val="single" w:color="CCCCCC" w:sz="4"/>
              <w:bottom w:val="single" w:color="CCCCCC" w:sz="4"/>
              <w:right w:val="single" w:color="CCCCCC" w:sz="4"/>
            </w:tcBorders>
            <w:shd w:fill="0077B6"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Velsanet MOCT</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Topology</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All-to-all fixed physical links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Parallel fixed optical cores</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Blocking</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Non-blocking — always full BW</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Non-blocking — dedicated cores</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Latency</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Deterministic — no routing</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Deterministic — physical optical</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Packet switching</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None — point-to-point fixed</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None — abandoned entirely</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Scale</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Rack scale (NVL72: 72 GPUs)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Network scale (city to global)</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Origin</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Solving AI compute bandwidth</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Solving AI-native network</w:t>
            </w:r>
          </w:p>
        </w:tc>
      </w:tr>
    </w:tbl>
    <w:p>
      <w:r>
        <w:t xml:space="preserve"/>
      </w:r>
    </w:p>
    <w:p>
      <w:pPr>
        <w:spacing w:before="60" w:after="60"/>
      </w:pPr>
      <w:r>
        <w:rPr>
          <w:rFonts w:ascii="Arial" w:cs="Arial" w:eastAsia="Arial" w:hAnsi="Arial"/>
          <w:sz w:val="22"/>
          <w:szCs w:val="22"/>
        </w:rPr>
        <w:t xml:space="preserve">The engineering intuitions that produced NVLink — developed to solve the bandwidth and latency problems of large-scale AI training — are the same intuitions that produced the MOCT architecture for network-scale AI. The convergence is structural, not coincidental. NVSwitch does this at rack scale. Velsanet MOCT does this at network scale. The principle is the same. The scale is the difference.</w:t>
      </w:r>
    </w:p>
    <w:p>
      <w:r>
        <w:t xml:space="preserve"/>
      </w:r>
    </w:p>
    <w:p>
      <w:pPr>
        <w:pStyle w:val="Heading2"/>
        <w:spacing w:before="320" w:after="120"/>
      </w:pPr>
      <w:r>
        <w:rPr>
          <w:rFonts w:ascii="Arial" w:cs="Arial" w:eastAsia="Arial" w:hAnsi="Arial"/>
          <w:b/>
          <w:bCs/>
          <w:color w:val="1A3A6B"/>
          <w:sz w:val="28"/>
          <w:szCs w:val="28"/>
        </w:rPr>
        <w:t xml:space="preserve">7.4  The Intel CPO ↔ MOCT Fabrication Parallel</w:t>
      </w:r>
    </w:p>
    <w:p>
      <w:pPr>
        <w:spacing w:before="60" w:after="60"/>
      </w:pPr>
      <w:r>
        <w:rPr>
          <w:rFonts w:ascii="Arial" w:cs="Arial" w:eastAsia="Arial" w:hAnsi="Arial"/>
          <w:sz w:val="22"/>
          <w:szCs w:val="22"/>
        </w:rPr>
        <w:t xml:space="preserve">Intel's Co-Packaged Optics (CPO) and Velsanet MOCT share the same fabrication principle: silicon photonics on CMOS, factory-attached fiber, integrated with compute. The MOCT is an extension of Intel's CPO direction — not a departure from it.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Property</w:t>
            </w:r>
          </w:p>
        </w:tc>
        <w:tc>
          <w:tcPr>
            <w:tcW w:type="dxa" w:w="358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CPO (Current)</w:t>
            </w:r>
          </w:p>
        </w:tc>
        <w:tc>
          <w:tcPr>
            <w:tcW w:type="dxa" w:w="3580"/>
            <w:tcBorders>
              <w:top w:val="single" w:color="CCCCCC" w:sz="4"/>
              <w:left w:val="single" w:color="CCCCCC" w:sz="4"/>
              <w:bottom w:val="single" w:color="CCCCCC" w:sz="4"/>
              <w:right w:val="single" w:color="CCCCCC" w:sz="4"/>
            </w:tcBorders>
            <w:shd w:fill="0077B6"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Velsanet MOCT (Target)</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Optical cores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8–16 parallel lanes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100–1000+ parallel cores</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Module type</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Co-packaged (fixed)</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Fixed, non-pluggable</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Fiber attachment</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Factory-attached</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Factory-fused (5m+)</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MEMS alignment</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Passive alignment structures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MEMS Alignment Interface (MAI)</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AI channel control</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Not native</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Native (Channel 1 per core)</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Fabrication process</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SiPho PDK (production)</w:t>
            </w:r>
          </w:p>
        </w:tc>
        <w:tc>
          <w:tcPr>
            <w:tcW w:type="dxa" w:w="35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SiPho PDK (target)</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Chapter 8 — Implementation Paths</w:t>
      </w:r>
    </w:p>
    <w:p>
      <w:pPr>
        <w:spacing w:before="60" w:after="60"/>
      </w:pPr>
      <w:r>
        <w:rPr>
          <w:rFonts w:ascii="Arial" w:cs="Arial" w:eastAsia="Arial" w:hAnsi="Arial"/>
          <w:sz w:val="22"/>
          <w:szCs w:val="22"/>
        </w:rPr>
        <w:t xml:space="preserve">This chapter maps each platform combination to a concrete prototype and deployment timeline, enabling a direct comparison of when each path can deliver working hardware.</w:t>
      </w:r>
    </w:p>
    <w:p>
      <w:r>
        <w:t xml:space="preserve"/>
      </w:r>
    </w:p>
    <w:p>
      <w:pPr>
        <w:pStyle w:val="Heading2"/>
        <w:spacing w:before="320" w:after="120"/>
      </w:pPr>
      <w:r>
        <w:rPr>
          <w:rFonts w:ascii="Arial" w:cs="Arial" w:eastAsia="Arial" w:hAnsi="Arial"/>
          <w:b/>
          <w:bCs/>
          <w:color w:val="1A3A6B"/>
          <w:sz w:val="28"/>
          <w:szCs w:val="28"/>
        </w:rPr>
        <w:t xml:space="preserve">8.1  ARM + Samsung — Custom Silicon Path</w:t>
      </w:r>
    </w:p>
    <w:p>
      <w:pPr>
        <w:spacing w:before="200" w:after="60"/>
      </w:pPr>
      <w:r>
        <w:rPr>
          <w:rFonts w:ascii="Arial" w:cs="Arial" w:eastAsia="Arial" w:hAnsi="Arial"/>
          <w:b/>
          <w:bCs/>
          <w:caps/>
          <w:color w:val="00A4EF"/>
          <w:spacing w:val="60"/>
          <w:sz w:val="18"/>
          <w:szCs w:val="18"/>
        </w:rPr>
        <w:t xml:space="preserve">TIMELINE: 12–24 months to first prototype</w:t>
      </w:r>
    </w:p>
    <w:p>
      <w:pPr>
        <w:pStyle w:val="ListParagraph"/>
        <w:numPr>
          <w:ilvl w:val="0"/>
          <w:numId w:val="2"/>
        </w:numPr>
        <w:spacing w:before="40" w:after="40"/>
      </w:pPr>
      <w:r>
        <w:rPr>
          <w:rFonts w:ascii="Arial" w:cs="Arial" w:eastAsia="Arial" w:hAnsi="Arial"/>
          <w:sz w:val="22"/>
          <w:szCs w:val="22"/>
        </w:rPr>
        <w:t xml:space="preserve">Month 1–3: ARM IP licensing — Cortex-M55, Ethos-U65, Cortex-A720, Ethos-N78, CMN-700, Neoverse V2</w:t>
      </w:r>
    </w:p>
    <w:p>
      <w:pPr>
        <w:pStyle w:val="ListParagraph"/>
        <w:numPr>
          <w:ilvl w:val="0"/>
          <w:numId w:val="2"/>
        </w:numPr>
        <w:spacing w:before="40" w:after="40"/>
      </w:pPr>
      <w:r>
        <w:rPr>
          <w:rFonts w:ascii="Arial" w:cs="Arial" w:eastAsia="Arial" w:hAnsi="Arial"/>
          <w:sz w:val="22"/>
          <w:szCs w:val="22"/>
        </w:rPr>
        <w:t xml:space="preserve">Month 3–6: Samsung System LSI engagement — Dedicated Equipment SoC specification</w:t>
      </w:r>
    </w:p>
    <w:p>
      <w:pPr>
        <w:pStyle w:val="ListParagraph"/>
        <w:numPr>
          <w:ilvl w:val="0"/>
          <w:numId w:val="2"/>
        </w:numPr>
        <w:spacing w:before="40" w:after="40"/>
      </w:pPr>
      <w:r>
        <w:rPr>
          <w:rFonts w:ascii="Arial" w:cs="Arial" w:eastAsia="Arial" w:hAnsi="Arial"/>
          <w:sz w:val="22"/>
          <w:szCs w:val="22"/>
        </w:rPr>
        <w:t xml:space="preserve">Month 4–8: Samsung Foundry SiPho PDK feasibility study for MOCT</w:t>
      </w:r>
    </w:p>
    <w:p>
      <w:pPr>
        <w:pStyle w:val="ListParagraph"/>
        <w:numPr>
          <w:ilvl w:val="0"/>
          <w:numId w:val="2"/>
        </w:numPr>
        <w:spacing w:before="40" w:after="40"/>
      </w:pPr>
      <w:r>
        <w:rPr>
          <w:rFonts w:ascii="Arial" w:cs="Arial" w:eastAsia="Arial" w:hAnsi="Arial"/>
          <w:sz w:val="22"/>
          <w:szCs w:val="22"/>
        </w:rPr>
        <w:t xml:space="preserve">Month 6–12: PAI node prototype on ARM Corstone reference platform</w:t>
      </w:r>
    </w:p>
    <w:p>
      <w:pPr>
        <w:pStyle w:val="ListParagraph"/>
        <w:numPr>
          <w:ilvl w:val="0"/>
          <w:numId w:val="2"/>
        </w:numPr>
        <w:spacing w:before="40" w:after="40"/>
      </w:pPr>
      <w:r>
        <w:rPr>
          <w:rFonts w:ascii="Arial" w:cs="Arial" w:eastAsia="Arial" w:hAnsi="Arial"/>
          <w:sz w:val="22"/>
          <w:szCs w:val="22"/>
        </w:rPr>
        <w:t xml:space="preserve">Month 12–18: Dedicated Equipment SoC tape-out on SF4</w:t>
      </w:r>
    </w:p>
    <w:p>
      <w:pPr>
        <w:pStyle w:val="ListParagraph"/>
        <w:numPr>
          <w:ilvl w:val="0"/>
          <w:numId w:val="2"/>
        </w:numPr>
        <w:spacing w:before="40" w:after="40"/>
      </w:pPr>
      <w:r>
        <w:rPr>
          <w:rFonts w:ascii="Arial" w:cs="Arial" w:eastAsia="Arial" w:hAnsi="Arial"/>
          <w:sz w:val="22"/>
          <w:szCs w:val="22"/>
        </w:rPr>
        <w:t xml:space="preserve">Month 18–24: Full PAI + Dedicated Equipment hardware demonstration</w:t>
      </w:r>
    </w:p>
    <w:p>
      <w:pPr>
        <w:pStyle w:val="ListParagraph"/>
        <w:numPr>
          <w:ilvl w:val="0"/>
          <w:numId w:val="2"/>
        </w:numPr>
        <w:spacing w:before="40" w:after="40"/>
      </w:pPr>
      <w:r>
        <w:rPr>
          <w:rFonts w:ascii="Arial" w:cs="Arial" w:eastAsia="Arial" w:hAnsi="Arial"/>
          <w:sz w:val="22"/>
          <w:szCs w:val="22"/>
        </w:rPr>
        <w:t xml:space="preserve">Advantage: highest integration, Samsung vertical stack, Korean domestic leadership</w:t>
      </w:r>
    </w:p>
    <w:p>
      <w:pPr>
        <w:pStyle w:val="ListParagraph"/>
        <w:numPr>
          <w:ilvl w:val="0"/>
          <w:numId w:val="2"/>
        </w:numPr>
        <w:spacing w:before="40" w:after="40"/>
      </w:pPr>
      <w:r>
        <w:rPr>
          <w:rFonts w:ascii="Arial" w:cs="Arial" w:eastAsia="Arial" w:hAnsi="Arial"/>
          <w:sz w:val="22"/>
          <w:szCs w:val="22"/>
        </w:rPr>
        <w:t xml:space="preserve">Challenge: no off-the-shelf path — everything requires custom silicon development</w:t>
      </w:r>
    </w:p>
    <w:p>
      <w:r>
        <w:t xml:space="preserve"/>
      </w:r>
    </w:p>
    <w:p>
      <w:pPr>
        <w:pStyle w:val="Heading2"/>
        <w:spacing w:before="320" w:after="120"/>
      </w:pPr>
      <w:r>
        <w:rPr>
          <w:rFonts w:ascii="Arial" w:cs="Arial" w:eastAsia="Arial" w:hAnsi="Arial"/>
          <w:b/>
          <w:bCs/>
          <w:color w:val="1A3A6B"/>
          <w:sz w:val="28"/>
          <w:szCs w:val="28"/>
        </w:rPr>
        <w:t xml:space="preserve">8.2  NVIDIA + TSMC — System Platform Path</w:t>
      </w:r>
    </w:p>
    <w:p>
      <w:pPr>
        <w:spacing w:before="200" w:after="60"/>
      </w:pPr>
      <w:r>
        <w:rPr>
          <w:rFonts w:ascii="Arial" w:cs="Arial" w:eastAsia="Arial" w:hAnsi="Arial"/>
          <w:b/>
          <w:bCs/>
          <w:caps/>
          <w:color w:val="76B900"/>
          <w:spacing w:val="60"/>
          <w:sz w:val="18"/>
          <w:szCs w:val="18"/>
        </w:rPr>
        <w:t xml:space="preserve">TIMELINE: 1–3 months to first prototype (today's hardware)</w:t>
      </w:r>
    </w:p>
    <w:p>
      <w:pPr>
        <w:pStyle w:val="ListParagraph"/>
        <w:numPr>
          <w:ilvl w:val="0"/>
          <w:numId w:val="2"/>
        </w:numPr>
        <w:spacing w:before="40" w:after="40"/>
      </w:pPr>
      <w:r>
        <w:rPr>
          <w:rFonts w:ascii="Arial" w:cs="Arial" w:eastAsia="Arial" w:hAnsi="Arial"/>
          <w:sz w:val="22"/>
          <w:szCs w:val="22"/>
        </w:rPr>
        <w:t xml:space="preserve">Week 1–2: Jetson Orin NX Developer Kit — PAI node prototype on existing hardware</w:t>
      </w:r>
    </w:p>
    <w:p>
      <w:pPr>
        <w:pStyle w:val="ListParagraph"/>
        <w:numPr>
          <w:ilvl w:val="0"/>
          <w:numId w:val="2"/>
        </w:numPr>
        <w:spacing w:before="40" w:after="40"/>
      </w:pPr>
      <w:r>
        <w:rPr>
          <w:rFonts w:ascii="Arial" w:cs="Arial" w:eastAsia="Arial" w:hAnsi="Arial"/>
          <w:sz w:val="22"/>
          <w:szCs w:val="22"/>
        </w:rPr>
        <w:t xml:space="preserve">Week 2–4: BlueField-3 DPU developer kit — Dedicated Equipment DOCA prototype</w:t>
      </w:r>
    </w:p>
    <w:p>
      <w:pPr>
        <w:pStyle w:val="ListParagraph"/>
        <w:numPr>
          <w:ilvl w:val="0"/>
          <w:numId w:val="2"/>
        </w:numPr>
        <w:spacing w:before="40" w:after="40"/>
      </w:pPr>
      <w:r>
        <w:rPr>
          <w:rFonts w:ascii="Arial" w:cs="Arial" w:eastAsia="Arial" w:hAnsi="Arial"/>
          <w:sz w:val="22"/>
          <w:szCs w:val="22"/>
        </w:rPr>
        <w:t xml:space="preserve">Month 1–2: Grace-Hopper GH200 (cloud) — AAI node DIKWEI validation</w:t>
      </w:r>
    </w:p>
    <w:p>
      <w:pPr>
        <w:pStyle w:val="ListParagraph"/>
        <w:numPr>
          <w:ilvl w:val="0"/>
          <w:numId w:val="2"/>
        </w:numPr>
        <w:spacing w:before="40" w:after="40"/>
      </w:pPr>
      <w:r>
        <w:rPr>
          <w:rFonts w:ascii="Arial" w:cs="Arial" w:eastAsia="Arial" w:hAnsi="Arial"/>
          <w:sz w:val="22"/>
          <w:szCs w:val="22"/>
        </w:rPr>
        <w:t xml:space="preserve">Month 2–3: Full PAI → Dedicated Equipment → AAI chain demonstration</w:t>
      </w:r>
    </w:p>
    <w:p>
      <w:pPr>
        <w:pStyle w:val="ListParagraph"/>
        <w:numPr>
          <w:ilvl w:val="0"/>
          <w:numId w:val="2"/>
        </w:numPr>
        <w:spacing w:before="40" w:after="40"/>
      </w:pPr>
      <w:r>
        <w:rPr>
          <w:rFonts w:ascii="Arial" w:cs="Arial" w:eastAsia="Arial" w:hAnsi="Arial"/>
          <w:sz w:val="22"/>
          <w:szCs w:val="22"/>
        </w:rPr>
        <w:t xml:space="preserve">Month 3–6: TSMC OIP engagement for MOCT SiPho feasibility</w:t>
      </w:r>
    </w:p>
    <w:p>
      <w:pPr>
        <w:pStyle w:val="ListParagraph"/>
        <w:numPr>
          <w:ilvl w:val="0"/>
          <w:numId w:val="2"/>
        </w:numPr>
        <w:spacing w:before="40" w:after="40"/>
      </w:pPr>
      <w:r>
        <w:rPr>
          <w:rFonts w:ascii="Arial" w:cs="Arial" w:eastAsia="Arial" w:hAnsi="Arial"/>
          <w:sz w:val="22"/>
          <w:szCs w:val="22"/>
        </w:rPr>
        <w:t xml:space="preserve">Month 6–12: AsAI demonstration on GB200 NVL72</w:t>
      </w:r>
    </w:p>
    <w:p>
      <w:pPr>
        <w:pStyle w:val="ListParagraph"/>
        <w:numPr>
          <w:ilvl w:val="0"/>
          <w:numId w:val="2"/>
        </w:numPr>
        <w:spacing w:before="40" w:after="40"/>
      </w:pPr>
      <w:r>
        <w:rPr>
          <w:rFonts w:ascii="Arial" w:cs="Arial" w:eastAsia="Arial" w:hAnsi="Arial"/>
          <w:sz w:val="22"/>
          <w:szCs w:val="22"/>
        </w:rPr>
        <w:t xml:space="preserve">Advantage: fastest path — all compute hardware available today</w:t>
      </w:r>
    </w:p>
    <w:p>
      <w:pPr>
        <w:pStyle w:val="ListParagraph"/>
        <w:numPr>
          <w:ilvl w:val="0"/>
          <w:numId w:val="2"/>
        </w:numPr>
        <w:spacing w:before="40" w:after="40"/>
      </w:pPr>
      <w:r>
        <w:rPr>
          <w:rFonts w:ascii="Arial" w:cs="Arial" w:eastAsia="Arial" w:hAnsi="Arial"/>
          <w:sz w:val="22"/>
          <w:szCs w:val="22"/>
        </w:rPr>
        <w:t xml:space="preserve">Challenge: MOCT still requires custom fabrication; NVSwitch fabric is rack-scale not network-scale</w:t>
      </w:r>
    </w:p>
    <w:p>
      <w:r>
        <w:t xml:space="preserve"/>
      </w:r>
    </w:p>
    <w:p>
      <w:pPr>
        <w:pStyle w:val="Heading2"/>
        <w:spacing w:before="320" w:after="120"/>
      </w:pPr>
      <w:r>
        <w:rPr>
          <w:rFonts w:ascii="Arial" w:cs="Arial" w:eastAsia="Arial" w:hAnsi="Arial"/>
          <w:b/>
          <w:bCs/>
          <w:color w:val="1A3A6B"/>
          <w:sz w:val="28"/>
          <w:szCs w:val="28"/>
        </w:rPr>
        <w:t xml:space="preserve">8.3  Intel + Broadcom — Network Infra-Native Path</w:t>
      </w:r>
    </w:p>
    <w:p>
      <w:pPr>
        <w:spacing w:before="200" w:after="60"/>
      </w:pPr>
      <w:r>
        <w:rPr>
          <w:rFonts w:ascii="Arial" w:cs="Arial" w:eastAsia="Arial" w:hAnsi="Arial"/>
          <w:b/>
          <w:bCs/>
          <w:caps/>
          <w:color w:val="0068B5"/>
          <w:spacing w:val="60"/>
          <w:sz w:val="18"/>
          <w:szCs w:val="18"/>
        </w:rPr>
        <w:t xml:space="preserve">TIMELINE: 1–6 months to first prototype (today's hardware)</w:t>
      </w:r>
    </w:p>
    <w:p>
      <w:pPr>
        <w:pStyle w:val="ListParagraph"/>
        <w:numPr>
          <w:ilvl w:val="0"/>
          <w:numId w:val="2"/>
        </w:numPr>
        <w:spacing w:before="40" w:after="40"/>
      </w:pPr>
      <w:r>
        <w:rPr>
          <w:rFonts w:ascii="Arial" w:cs="Arial" w:eastAsia="Arial" w:hAnsi="Arial"/>
          <w:sz w:val="22"/>
          <w:szCs w:val="22"/>
        </w:rPr>
        <w:t xml:space="preserve">Week 1–2: Intel Core Ultra developer platform — PAI NPU prototype</w:t>
      </w:r>
    </w:p>
    <w:p>
      <w:pPr>
        <w:pStyle w:val="ListParagraph"/>
        <w:numPr>
          <w:ilvl w:val="0"/>
          <w:numId w:val="2"/>
        </w:numPr>
        <w:spacing w:before="40" w:after="40"/>
      </w:pPr>
      <w:r>
        <w:rPr>
          <w:rFonts w:ascii="Arial" w:cs="Arial" w:eastAsia="Arial" w:hAnsi="Arial"/>
          <w:sz w:val="22"/>
          <w:szCs w:val="22"/>
        </w:rPr>
        <w:t xml:space="preserve">Week 2–4: Intel IPU (Mount Evans) dev kit — Dedicated Equipment P4 prototype</w:t>
      </w:r>
    </w:p>
    <w:p>
      <w:pPr>
        <w:pStyle w:val="ListParagraph"/>
        <w:numPr>
          <w:ilvl w:val="0"/>
          <w:numId w:val="2"/>
        </w:numPr>
        <w:spacing w:before="40" w:after="40"/>
      </w:pPr>
      <w:r>
        <w:rPr>
          <w:rFonts w:ascii="Arial" w:cs="Arial" w:eastAsia="Arial" w:hAnsi="Arial"/>
          <w:sz w:val="22"/>
          <w:szCs w:val="22"/>
        </w:rPr>
        <w:t xml:space="preserve">Month 1–3: Intel Gaudi 3 (Intel Developer Cloud) — AAI validation</w:t>
      </w:r>
    </w:p>
    <w:p>
      <w:pPr>
        <w:pStyle w:val="ListParagraph"/>
        <w:numPr>
          <w:ilvl w:val="0"/>
          <w:numId w:val="2"/>
        </w:numPr>
        <w:spacing w:before="40" w:after="40"/>
      </w:pPr>
      <w:r>
        <w:rPr>
          <w:rFonts w:ascii="Arial" w:cs="Arial" w:eastAsia="Arial" w:hAnsi="Arial"/>
          <w:sz w:val="22"/>
          <w:szCs w:val="22"/>
        </w:rPr>
        <w:t xml:space="preserve">Month 3–6: Intel Foundry Services SiPho PDK engagement for MOCT</w:t>
      </w:r>
    </w:p>
    <w:p>
      <w:pPr>
        <w:pStyle w:val="ListParagraph"/>
        <w:numPr>
          <w:ilvl w:val="0"/>
          <w:numId w:val="2"/>
        </w:numPr>
        <w:spacing w:before="40" w:after="40"/>
      </w:pPr>
      <w:r>
        <w:rPr>
          <w:rFonts w:ascii="Arial" w:cs="Arial" w:eastAsia="Arial" w:hAnsi="Arial"/>
          <w:sz w:val="22"/>
          <w:szCs w:val="22"/>
        </w:rPr>
        <w:t xml:space="preserve">Month 6–12: Broadcom Custom Silicon Solutions engagement — AsAI ASIC scoping</w:t>
      </w:r>
    </w:p>
    <w:p>
      <w:pPr>
        <w:pStyle w:val="ListParagraph"/>
        <w:numPr>
          <w:ilvl w:val="0"/>
          <w:numId w:val="2"/>
        </w:numPr>
        <w:spacing w:before="40" w:after="40"/>
      </w:pPr>
      <w:r>
        <w:rPr>
          <w:rFonts w:ascii="Arial" w:cs="Arial" w:eastAsia="Arial" w:hAnsi="Arial"/>
          <w:sz w:val="22"/>
          <w:szCs w:val="22"/>
        </w:rPr>
        <w:t xml:space="preserve">Month 12–24: Broadcom XPU AsAI ASIC development (if selected)</w:t>
      </w:r>
    </w:p>
    <w:p>
      <w:pPr>
        <w:pStyle w:val="ListParagraph"/>
        <w:numPr>
          <w:ilvl w:val="0"/>
          <w:numId w:val="2"/>
        </w:numPr>
        <w:spacing w:before="40" w:after="40"/>
      </w:pPr>
      <w:r>
        <w:rPr>
          <w:rFonts w:ascii="Arial" w:cs="Arial" w:eastAsia="Arial" w:hAnsi="Arial"/>
          <w:sz w:val="22"/>
          <w:szCs w:val="22"/>
        </w:rPr>
        <w:t xml:space="preserve">Advantage: IPU is the best structural match for Dedicated Equipment; Intel has deepest SiPho heritage for MOCT</w:t>
      </w:r>
    </w:p>
    <w:p>
      <w:pPr>
        <w:pStyle w:val="ListParagraph"/>
        <w:numPr>
          <w:ilvl w:val="0"/>
          <w:numId w:val="2"/>
        </w:numPr>
        <w:spacing w:before="40" w:after="40"/>
      </w:pPr>
      <w:r>
        <w:rPr>
          <w:rFonts w:ascii="Arial" w:cs="Arial" w:eastAsia="Arial" w:hAnsi="Arial"/>
          <w:sz w:val="22"/>
          <w:szCs w:val="22"/>
        </w:rPr>
        <w:t xml:space="preserve">Challenge: AsAI requires either Gaudi 3 (near-term) or long Broadcom ASIC development cycle</w:t>
      </w:r>
    </w:p>
    <w:p>
      <w:r>
        <w:t xml:space="preserve"/>
      </w:r>
    </w:p>
    <w:p>
      <w:pPr>
        <w:pStyle w:val="Heading2"/>
        <w:spacing w:before="320" w:after="120"/>
      </w:pPr>
      <w:r>
        <w:rPr>
          <w:rFonts w:ascii="Arial" w:cs="Arial" w:eastAsia="Arial" w:hAnsi="Arial"/>
          <w:b/>
          <w:bCs/>
          <w:color w:val="1A3A6B"/>
          <w:sz w:val="28"/>
          <w:szCs w:val="28"/>
        </w:rPr>
        <w:t xml:space="preserve">8.4  Implementation Path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80"/>
        <w:gridCol w:w="2380"/>
        <w:gridCol w:w="2400"/>
      </w:tblGrid>
      <w:tr>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Milestone</w:t>
            </w:r>
          </w:p>
        </w:tc>
        <w:tc>
          <w:tcPr>
            <w:tcW w:type="dxa" w:w="2380"/>
            <w:tcBorders>
              <w:top w:val="single" w:color="CCCCCC" w:sz="4"/>
              <w:left w:val="single" w:color="CCCCCC" w:sz="4"/>
              <w:bottom w:val="single" w:color="CCCCCC" w:sz="4"/>
              <w:right w:val="single" w:color="CCCCCC" w:sz="4"/>
            </w:tcBorders>
            <w:shd w:fill="00A4EF"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ARM + Samsung</w:t>
            </w:r>
          </w:p>
        </w:tc>
        <w:tc>
          <w:tcPr>
            <w:tcW w:type="dxa" w:w="2380"/>
            <w:tcBorders>
              <w:top w:val="single" w:color="CCCCCC" w:sz="4"/>
              <w:left w:val="single" w:color="CCCCCC" w:sz="4"/>
              <w:bottom w:val="single" w:color="CCCCCC" w:sz="4"/>
              <w:right w:val="single" w:color="CCCCCC" w:sz="4"/>
            </w:tcBorders>
            <w:shd w:fill="76B900"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NVIDIA + TSMC</w:t>
            </w:r>
          </w:p>
        </w:tc>
        <w:tc>
          <w:tcPr>
            <w:tcW w:type="dxa" w:w="2400"/>
            <w:tcBorders>
              <w:top w:val="single" w:color="CCCCCC" w:sz="4"/>
              <w:left w:val="single" w:color="CCCCCC" w:sz="4"/>
              <w:bottom w:val="single" w:color="CCCCCC" w:sz="4"/>
              <w:right w:val="single" w:color="CCCCCC" w:sz="4"/>
            </w:tcBorders>
            <w:shd w:fill="0068B5" w:color="auto"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Intel + Broadcom</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PAI prototype</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6–12 months (Corstone)</w:t>
            </w:r>
          </w:p>
        </w:tc>
        <w:tc>
          <w:tcPr>
            <w:tcW w:type="dxa" w:w="23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1–2 weeks (Jetson kit)</w:t>
            </w:r>
          </w:p>
        </w:tc>
        <w:tc>
          <w:tcPr>
            <w:tcW w:type="dxa" w:w="240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1–2 weeks (Core Ultra)</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Dedicated Equipment</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12–18 months (SoC)</w:t>
            </w:r>
          </w:p>
        </w:tc>
        <w:tc>
          <w:tcPr>
            <w:tcW w:type="dxa" w:w="23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2–4 weeks (BlueField kit)</w:t>
            </w:r>
          </w:p>
        </w:tc>
        <w:tc>
          <w:tcPr>
            <w:tcW w:type="dxa" w:w="240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2–4 weeks (IPU kit)</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AAI prototype</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SoC needed</w:t>
            </w:r>
          </w:p>
        </w:tc>
        <w:tc>
          <w:tcPr>
            <w:tcW w:type="dxa" w:w="23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1–2 months (GH200 cloud)</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1–3 months (Gaudi 3 cloud)</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AsAI prototype</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Custom SoC needed</w:t>
            </w:r>
          </w:p>
        </w:tc>
        <w:tc>
          <w:tcPr>
            <w:tcW w:type="dxa" w:w="23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Available (GB200)</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Gaudi 3 near-term / XPU later</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MOCT feasibility</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Samsung Foundry study</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TSMC OIP engagement</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Intel IFS engagement</w:t>
            </w:r>
          </w:p>
        </w:tc>
      </w:tr>
      <w:tr>
        <w:tc>
          <w:tcPr>
            <w:tcW w:type="dxa" w:w="22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Full chain demo</w:t>
            </w:r>
          </w:p>
        </w:tc>
        <w:tc>
          <w:tcPr>
            <w:tcW w:type="dxa" w:w="23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18–24 months</w:t>
            </w:r>
          </w:p>
        </w:tc>
        <w:tc>
          <w:tcPr>
            <w:tcW w:type="dxa" w:w="238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2–3 months</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3–6 months</w:t>
            </w:r>
          </w:p>
        </w:tc>
      </w:tr>
    </w:tbl>
    <w:p>
      <w:r>
        <w:t xml:space="preserve"/>
      </w:r>
    </w:p>
    <w:p>
      <w:r>
        <w:t xml:space="preserve"/>
      </w:r>
    </w:p>
    <w:p>
      <w:pPr>
        <w:pBdr>
          <w:bottom w:val="single" w:color="0077B6" w:sz="6"/>
        </w:pBdr>
        <w:spacing w:before="180" w:after="180"/>
      </w:pPr>
      <w:r>
        <w:t xml:space="preserve"/>
      </w:r>
    </w:p>
    <w:p>
      <w:r>
        <w:br w:type="page"/>
      </w:r>
    </w:p>
    <w:p>
      <w:pPr>
        <w:pStyle w:val="Heading1"/>
        <w:spacing w:before="400" w:after="180"/>
      </w:pPr>
      <w:r>
        <w:rPr>
          <w:rFonts w:ascii="Arial" w:cs="Arial" w:eastAsia="Arial" w:hAnsi="Arial"/>
          <w:b/>
          <w:bCs/>
          <w:color w:val="0D1F3C"/>
          <w:sz w:val="38"/>
          <w:szCs w:val="38"/>
        </w:rPr>
        <w:t xml:space="preserve">References</w:t>
      </w:r>
    </w:p>
    <w:p>
      <w:pPr>
        <w:spacing w:before="60" w:after="60"/>
      </w:pPr>
      <w:r>
        <w:rPr>
          <w:rFonts w:ascii="Arial" w:cs="Arial" w:eastAsia="Arial" w:hAnsi="Arial"/>
          <w:sz w:val="22"/>
          <w:szCs w:val="22"/>
        </w:rPr>
        <w:t xml:space="preserve">Velsanet White Papers — https://joa337.github.io/velsanet-whitepapers/</w:t>
      </w:r>
    </w:p>
    <w:p>
      <w:r>
        <w:t xml:space="preserve"/>
      </w:r>
    </w:p>
    <w:p>
      <w:pPr>
        <w:pStyle w:val="ListParagraph"/>
        <w:numPr>
          <w:ilvl w:val="0"/>
          <w:numId w:val="2"/>
        </w:numPr>
        <w:spacing w:before="40" w:after="40"/>
      </w:pPr>
      <w:r>
        <w:rPr>
          <w:rFonts w:ascii="Arial" w:cs="Arial" w:eastAsia="Arial" w:hAnsi="Arial"/>
          <w:sz w:val="22"/>
          <w:szCs w:val="22"/>
        </w:rPr>
        <w:t xml:space="preserve">WP03 — Multi-Optical-Core Transceiver (MOCT) Architecture</w:t>
      </w:r>
    </w:p>
    <w:p>
      <w:pPr>
        <w:pStyle w:val="ListParagraph"/>
        <w:numPr>
          <w:ilvl w:val="0"/>
          <w:numId w:val="2"/>
        </w:numPr>
        <w:spacing w:before="40" w:after="40"/>
      </w:pPr>
      <w:r>
        <w:rPr>
          <w:rFonts w:ascii="Arial" w:cs="Arial" w:eastAsia="Arial" w:hAnsi="Arial"/>
          <w:sz w:val="22"/>
          <w:szCs w:val="22"/>
        </w:rPr>
        <w:t xml:space="preserve">WP08 — AI Architecture: DIKWEI Cognitive Cycle</w:t>
      </w:r>
    </w:p>
    <w:p>
      <w:pPr>
        <w:pStyle w:val="ListParagraph"/>
        <w:numPr>
          <w:ilvl w:val="0"/>
          <w:numId w:val="2"/>
        </w:numPr>
        <w:spacing w:before="40" w:after="40"/>
      </w:pPr>
      <w:r>
        <w:rPr>
          <w:rFonts w:ascii="Arial" w:cs="Arial" w:eastAsia="Arial" w:hAnsi="Arial"/>
          <w:sz w:val="22"/>
          <w:szCs w:val="22"/>
        </w:rPr>
        <w:t xml:space="preserve">WP09 — Three-Layer AI System: PAI / AAI / AsAI</w:t>
      </w:r>
    </w:p>
    <w:p>
      <w:pPr>
        <w:pStyle w:val="ListParagraph"/>
        <w:numPr>
          <w:ilvl w:val="0"/>
          <w:numId w:val="2"/>
        </w:numPr>
        <w:spacing w:before="40" w:after="40"/>
      </w:pPr>
      <w:r>
        <w:rPr>
          <w:rFonts w:ascii="Arial" w:cs="Arial" w:eastAsia="Arial" w:hAnsi="Arial"/>
          <w:sz w:val="22"/>
          <w:szCs w:val="22"/>
        </w:rPr>
        <w:t xml:space="preserve">WP10 — Network AI</w:t>
      </w:r>
    </w:p>
    <w:p>
      <w:pPr>
        <w:pStyle w:val="ListParagraph"/>
        <w:numPr>
          <w:ilvl w:val="0"/>
          <w:numId w:val="2"/>
        </w:numPr>
        <w:spacing w:before="40" w:after="40"/>
      </w:pPr>
      <w:r>
        <w:rPr>
          <w:rFonts w:ascii="Arial" w:cs="Arial" w:eastAsia="Arial" w:hAnsi="Arial"/>
          <w:sz w:val="22"/>
          <w:szCs w:val="22"/>
        </w:rPr>
        <w:t xml:space="preserve">WP13 — Node Color and Identity Semantics</w:t>
      </w:r>
    </w:p>
    <w:p>
      <w:pPr>
        <w:pStyle w:val="ListParagraph"/>
        <w:numPr>
          <w:ilvl w:val="0"/>
          <w:numId w:val="2"/>
        </w:numPr>
        <w:spacing w:before="40" w:after="40"/>
      </w:pPr>
      <w:r>
        <w:rPr>
          <w:rFonts w:ascii="Arial" w:cs="Arial" w:eastAsia="Arial" w:hAnsi="Arial"/>
          <w:sz w:val="22"/>
          <w:szCs w:val="22"/>
        </w:rPr>
        <w:t xml:space="preserve">WP15 — Network-Native Identity and Path Authority</w:t>
      </w:r>
    </w:p>
    <w:p>
      <w:pPr>
        <w:pStyle w:val="ListParagraph"/>
        <w:numPr>
          <w:ilvl w:val="0"/>
          <w:numId w:val="2"/>
        </w:numPr>
        <w:spacing w:before="40" w:after="40"/>
      </w:pPr>
      <w:r>
        <w:rPr>
          <w:rFonts w:ascii="Arial" w:cs="Arial" w:eastAsia="Arial" w:hAnsi="Arial"/>
          <w:sz w:val="22"/>
          <w:szCs w:val="22"/>
        </w:rPr>
        <w:t xml:space="preserve">WP18 — Network AI and Global Governance Architecture</w:t>
      </w:r>
    </w:p>
    <w:p>
      <w:pPr>
        <w:pStyle w:val="ListParagraph"/>
        <w:numPr>
          <w:ilvl w:val="0"/>
          <w:numId w:val="2"/>
        </w:numPr>
        <w:spacing w:before="40" w:after="40"/>
      </w:pPr>
      <w:r>
        <w:rPr>
          <w:rFonts w:ascii="Arial" w:cs="Arial" w:eastAsia="Arial" w:hAnsi="Arial"/>
          <w:sz w:val="22"/>
          <w:szCs w:val="22"/>
        </w:rPr>
        <w:t xml:space="preserve">WP20 — Node Intelligence and Optical Parallelism</w:t>
      </w:r>
    </w:p>
    <w:p>
      <w:pPr>
        <w:pStyle w:val="ListParagraph"/>
        <w:numPr>
          <w:ilvl w:val="0"/>
          <w:numId w:val="2"/>
        </w:numPr>
        <w:spacing w:before="40" w:after="40"/>
      </w:pPr>
      <w:r>
        <w:rPr>
          <w:rFonts w:ascii="Arial" w:cs="Arial" w:eastAsia="Arial" w:hAnsi="Arial"/>
          <w:sz w:val="22"/>
          <w:szCs w:val="22"/>
        </w:rPr>
        <w:t xml:space="preserve">WP21 — AI Safety by Architecture</w:t>
      </w:r>
    </w:p>
    <w:p>
      <w:r>
        <w:t xml:space="preserve"/>
      </w:r>
    </w:p>
    <w:p>
      <w:pPr>
        <w:spacing w:before="60" w:after="60"/>
      </w:pPr>
      <w:r>
        <w:rPr>
          <w:rFonts w:ascii="Arial" w:cs="Arial" w:eastAsia="Arial" w:hAnsi="Arial"/>
          <w:b/>
          <w:bCs/>
          <w:sz w:val="22"/>
          <w:szCs w:val="22"/>
        </w:rPr>
        <w:t xml:space="preserve">ARM References</w:t>
      </w:r>
    </w:p>
    <w:p>
      <w:pPr>
        <w:pStyle w:val="ListParagraph"/>
        <w:numPr>
          <w:ilvl w:val="0"/>
          <w:numId w:val="2"/>
        </w:numPr>
        <w:spacing w:before="40" w:after="40"/>
      </w:pPr>
      <w:r>
        <w:rPr>
          <w:rFonts w:ascii="Arial" w:cs="Arial" w:eastAsia="Arial" w:hAnsi="Arial"/>
          <w:sz w:val="22"/>
          <w:szCs w:val="22"/>
        </w:rPr>
        <w:t xml:space="preserve">ARM Cortex-M55, Ethos-U65 NPU, Cortex-X4, Mali-G720, Neoverse V2, CoreLink CMN-700</w:t>
      </w:r>
    </w:p>
    <w:p>
      <w:r>
        <w:t xml:space="preserve"/>
      </w:r>
    </w:p>
    <w:p>
      <w:pPr>
        <w:spacing w:before="60" w:after="60"/>
      </w:pPr>
      <w:r>
        <w:rPr>
          <w:rFonts w:ascii="Arial" w:cs="Arial" w:eastAsia="Arial" w:hAnsi="Arial"/>
          <w:b/>
          <w:bCs/>
          <w:sz w:val="22"/>
          <w:szCs w:val="22"/>
        </w:rPr>
        <w:t xml:space="preserve">Samsung References</w:t>
      </w:r>
    </w:p>
    <w:p>
      <w:pPr>
        <w:pStyle w:val="ListParagraph"/>
        <w:numPr>
          <w:ilvl w:val="0"/>
          <w:numId w:val="2"/>
        </w:numPr>
        <w:spacing w:before="40" w:after="40"/>
      </w:pPr>
      <w:r>
        <w:rPr>
          <w:rFonts w:ascii="Arial" w:cs="Arial" w:eastAsia="Arial" w:hAnsi="Arial"/>
          <w:sz w:val="22"/>
          <w:szCs w:val="22"/>
        </w:rPr>
        <w:t xml:space="preserve">Samsung Foundry SF3/SF4 Process Technology, System LSI Exynos Platform, HBM3E, Samsung Advanced Package (SAP), PUF IP</w:t>
      </w:r>
    </w:p>
    <w:p>
      <w:r>
        <w:t xml:space="preserve"/>
      </w:r>
    </w:p>
    <w:p>
      <w:pPr>
        <w:spacing w:before="60" w:after="60"/>
      </w:pPr>
      <w:r>
        <w:rPr>
          <w:rFonts w:ascii="Arial" w:cs="Arial" w:eastAsia="Arial" w:hAnsi="Arial"/>
          <w:b/>
          <w:bCs/>
          <w:sz w:val="22"/>
          <w:szCs w:val="22"/>
        </w:rPr>
        <w:t xml:space="preserve">NVIDIA References</w:t>
      </w:r>
    </w:p>
    <w:p>
      <w:pPr>
        <w:pStyle w:val="ListParagraph"/>
        <w:numPr>
          <w:ilvl w:val="0"/>
          <w:numId w:val="2"/>
        </w:numPr>
        <w:spacing w:before="40" w:after="40"/>
      </w:pPr>
      <w:r>
        <w:rPr>
          <w:rFonts w:ascii="Arial" w:cs="Arial" w:eastAsia="Arial" w:hAnsi="Arial"/>
          <w:sz w:val="22"/>
          <w:szCs w:val="22"/>
        </w:rPr>
        <w:t xml:space="preserve">Jetson Orin NX, BlueField-3 DPU + DOCA SDK, Grace-Hopper GH200, Blackwell GB200 NVL72, NVSwitch 4.0 / NVLink 4.0</w:t>
      </w:r>
    </w:p>
    <w:p>
      <w:r>
        <w:t xml:space="preserve"/>
      </w:r>
    </w:p>
    <w:p>
      <w:pPr>
        <w:spacing w:before="60" w:after="60"/>
      </w:pPr>
      <w:r>
        <w:rPr>
          <w:rFonts w:ascii="Arial" w:cs="Arial" w:eastAsia="Arial" w:hAnsi="Arial"/>
          <w:b/>
          <w:bCs/>
          <w:sz w:val="22"/>
          <w:szCs w:val="22"/>
        </w:rPr>
        <w:t xml:space="preserve">TSMC References</w:t>
      </w:r>
    </w:p>
    <w:p>
      <w:pPr>
        <w:pStyle w:val="ListParagraph"/>
        <w:numPr>
          <w:ilvl w:val="0"/>
          <w:numId w:val="2"/>
        </w:numPr>
        <w:spacing w:before="40" w:after="40"/>
      </w:pPr>
      <w:r>
        <w:rPr>
          <w:rFonts w:ascii="Arial" w:cs="Arial" w:eastAsia="Arial" w:hAnsi="Arial"/>
          <w:sz w:val="22"/>
          <w:szCs w:val="22"/>
        </w:rPr>
        <w:t xml:space="preserve">TSMC Silicon Photonics PDK, N3P / N4P Process, CoWoS-L, InFO Packaging, Open Innovation Platform (OIP)</w:t>
      </w:r>
    </w:p>
    <w:p>
      <w:r>
        <w:t xml:space="preserve"/>
      </w:r>
    </w:p>
    <w:p>
      <w:pPr>
        <w:spacing w:before="60" w:after="60"/>
      </w:pPr>
      <w:r>
        <w:rPr>
          <w:rFonts w:ascii="Arial" w:cs="Arial" w:eastAsia="Arial" w:hAnsi="Arial"/>
          <w:b/>
          <w:bCs/>
          <w:sz w:val="22"/>
          <w:szCs w:val="22"/>
        </w:rPr>
        <w:t xml:space="preserve">Intel References</w:t>
      </w:r>
    </w:p>
    <w:p>
      <w:pPr>
        <w:pStyle w:val="ListParagraph"/>
        <w:numPr>
          <w:ilvl w:val="0"/>
          <w:numId w:val="2"/>
        </w:numPr>
        <w:spacing w:before="40" w:after="40"/>
      </w:pPr>
      <w:r>
        <w:rPr>
          <w:rFonts w:ascii="Arial" w:cs="Arial" w:eastAsia="Arial" w:hAnsi="Arial"/>
          <w:sz w:val="22"/>
          <w:szCs w:val="22"/>
        </w:rPr>
        <w:t xml:space="preserve">Intel Foundry 18A, Silicon Photonics PDK, IPU (Mount Evans / E2000), Core Ultra (Meteor Lake), Xeon Scalable, Gaudi 3, EMIB, Foveros 3D, TDX, SGX</w:t>
      </w:r>
    </w:p>
    <w:p>
      <w:r>
        <w:t xml:space="preserve"/>
      </w:r>
    </w:p>
    <w:p>
      <w:pPr>
        <w:spacing w:before="60" w:after="60"/>
      </w:pPr>
      <w:r>
        <w:rPr>
          <w:rFonts w:ascii="Arial" w:cs="Arial" w:eastAsia="Arial" w:hAnsi="Arial"/>
          <w:b/>
          <w:bCs/>
          <w:sz w:val="22"/>
          <w:szCs w:val="22"/>
        </w:rPr>
        <w:t xml:space="preserve">Broadcom References</w:t>
      </w:r>
    </w:p>
    <w:p>
      <w:pPr>
        <w:pStyle w:val="ListParagraph"/>
        <w:numPr>
          <w:ilvl w:val="0"/>
          <w:numId w:val="2"/>
        </w:numPr>
        <w:spacing w:before="40" w:after="40"/>
      </w:pPr>
      <w:r>
        <w:rPr>
          <w:rFonts w:ascii="Arial" w:cs="Arial" w:eastAsia="Arial" w:hAnsi="Arial"/>
          <w:sz w:val="22"/>
          <w:szCs w:val="22"/>
        </w:rPr>
        <w:t xml:space="preserve">Broadcom Custom Silicon Solutions (XPU Platform), Jericho3-AI, Google TPU / Meta MTIA (public references)</w:t>
      </w:r>
    </w:p>
    <w:p>
      <w:r>
        <w:t xml:space="preserve"/>
      </w:r>
    </w:p>
    <w:p>
      <w:r>
        <w:t xml:space="preserve"/>
      </w:r>
    </w:p>
    <w:p>
      <w:pPr>
        <w:pBdr>
          <w:bottom w:val="single" w:color="0077B6" w:sz="6"/>
        </w:pBdr>
        <w:spacing w:before="180" w:after="180"/>
      </w:pPr>
      <w:r>
        <w:t xml:space="preserve"/>
      </w:r>
    </w:p>
    <w:p>
      <w:r>
        <w:t xml:space="preserve"/>
      </w:r>
    </w:p>
    <w:p>
      <w:pPr>
        <w:jc w:val="center"/>
      </w:pPr>
      <w:r>
        <w:rPr>
          <w:rFonts w:ascii="Arial" w:cs="Arial" w:eastAsia="Arial" w:hAnsi="Arial"/>
          <w:color w:val="888888"/>
          <w:sz w:val="18"/>
          <w:szCs w:val="18"/>
        </w:rPr>
        <w:t xml:space="preserve">Velsanet Architecture Group  ·  Republic of Korea  ·  2026</w:t>
      </w:r>
    </w:p>
    <w:p>
      <w:pPr>
        <w:jc w:val="center"/>
      </w:pPr>
      <w:r>
        <w:rPr>
          <w:rFonts w:ascii="Arial" w:cs="Arial" w:eastAsia="Arial" w:hAnsi="Arial"/>
          <w:color w:val="888888"/>
          <w:sz w:val="18"/>
          <w:szCs w:val="18"/>
        </w:rPr>
        <w:t xml:space="preserve">github.com/joa337/velsanet-whitepapers  ·  Independent Technical Analysis</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80"/>
      <w:outlineLvl w:val="0"/>
    </w:pPr>
    <w:rPr>
      <w:rFonts w:ascii="Arial" w:cs="Arial" w:eastAsia="Arial" w:hAnsi="Arial"/>
      <w:b/>
      <w:bCs/>
      <w:color w:val="0D1F3C"/>
      <w:sz w:val="38"/>
      <w:szCs w:val="38"/>
    </w:rPr>
  </w:style>
  <w:style w:type="paragraph" w:styleId="Heading2">
    <w:name w:val="Heading 2"/>
    <w:basedOn w:val="Normal"/>
    <w:next w:val="Normal"/>
    <w:qFormat/>
    <w:pPr>
      <w:spacing w:before="320" w:after="120"/>
      <w:outlineLvl w:val="1"/>
    </w:pPr>
    <w:rPr>
      <w:rFonts w:ascii="Arial" w:cs="Arial" w:eastAsia="Arial" w:hAnsi="Arial"/>
      <w:b/>
      <w:bCs/>
      <w:color w:val="1A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2026-03-05T11:00:00.746Z</dcterms:created>
  <dcterms:modified xsi:type="dcterms:W3CDTF">2026-03-05T11:00:00.746Z</dcterms:modified>
</cp:coreProperties>
</file>

<file path=docProps/custom.xml><?xml version="1.0" encoding="utf-8"?>
<Properties xmlns="http://schemas.openxmlformats.org/officeDocument/2006/custom-properties" xmlns:vt="http://schemas.openxmlformats.org/officeDocument/2006/docPropsVTypes"/>
</file>